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en-US"/>
                      <w:rFonts w:ascii="Calibri" w:hAnsi="Calibri" w:cs="Calibri"/>
                      <w:u w:val="none"/>
                      <w:sz w:val="48"/>
                      <w:szCs w:val="48"/>
                      <w:color w:val="2C5E4F"/>
                    </w:rPr>
                    <w:t>Annabel Maltby</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en-US"/>
                      <w:rFonts w:ascii="Georgia" w:hAnsi="Georgia" w:cs="Georgia"/>
                      <w:u w:val="none"/>
                      <w:sz w:val="32"/>
                      <w:szCs w:val="32"/>
                      <w:color w:val="000000"/>
                    </w:rPr>
                    <w:t>Partner</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en-US"/>
                      <w:rFonts w:ascii="Georgia" w:hAnsi="Georgia" w:cs="Georgia"/>
                      <w:u w:val="none"/>
                      <w:sz w:val="28"/>
                      <w:szCs w:val="28"/>
                      <w:color w:val="000000"/>
                    </w:rPr>
                    <w:t>London
</w:t>
                  </w:r>
                  <w:r>
                    <w:rPr>
                      <w:lang w:val="en-US"/>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Biography</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rPr>
                    <w:t>Annabel works with clients from a range of industries, including life sciences and health care, energy, and financial services, to resolve their complex international arbitration disputes by providing pre-arbitration advice, assistance with mediation and settlement, or taking a case all the way to trial.</w:t>
                  </w:r>
                  <w:r>
                    <w:br/>
                  </w:r>
                </w:p>
                <w:p>
                  <w:pPr>
                    <w:spacing w:line="276"/>
                  </w:pPr>
                  <w:r>
                    <w:rPr>
                      <w:rFonts w:ascii="Georgia" w:hAnsi="Georgia" w:cs="Georgia"/>
                      <w:sz w:val="24"/>
                      <w:szCs w:val="24"/>
                    </w:rPr>
                    <w:t>Annabel has steered clients from Europe, the Americas, Asia and Africa through disputes arising out of complex financing transactions, license and development agreements, concession agreements and long-term supply agreements, joint-venture disputes and post M&amp;A disputes, as well as general contractual disputes. Her experience encompasses disputes governed by foreign law, arbitrations conducted under the major institutional rules (ICC, LCIA), ad hoc arbitrations and arbitration-related court proceedings.</w:t>
                  </w:r>
                  <w:r>
                    <w:br/>
                  </w:r>
                </w:p>
                <w:p>
                  <w:pPr>
                    <w:spacing w:line="276"/>
                  </w:pPr>
                  <w:r>
                    <w:rPr>
                      <w:rFonts w:ascii="Georgia" w:hAnsi="Georgia" w:cs="Georgia"/>
                      <w:sz w:val="24"/>
                      <w:szCs w:val="24"/>
                    </w:rPr>
                    <w:t>Named a Next Generation Partner in International Arbitration in Legal 500 2025, Annabel has higher rights of audience in the English courts and experience of conducting advocacy in international arbitration hearings. Annabel co-led the Hogan Lovells team that was awarded International Arbitration Team of the Year at the Legal Business Awards 2025.</w:t>
                  </w:r>
                  <w:r>
                    <w:br/>
                  </w:r>
                </w:p>
              </w:tc>
            </w:tr>
          </w:tbl>
          <w:p w:rsidR="009D34CC" w:rsidRPr="00086676" w:rsidRDefault="009D34CC" w:rsidP="00A408AD">
            <w:pPr>
              <w:rPr>
                <w:sz w:val="4"/>
                <w:szCs w:val="4"/>
              </w:rPr>
            </w:pPr>
            <w:r>
              <w:rPr>
                <w:sz w:val="4"/>
                <w:szCs w:val="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7_Representative Experience"/>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Representative experience</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8_RepresentativeExperienceContent"/>
            </w:tblPr>
            <w:tblGrid>
              <w:gridCol w:w="5841"/>
            </w:tblGrid>
            <w:tr w:rsidR="004A1494" w:rsidTr="00FF36A3">
              <w:tc>
                <w:tcPr>
                  <w:tcW w:w="5846.4" w:type="dxa"/>
                </w:tcPr>
                <w:p>
                  <w:pPr/>
                  <w:r>
                    <w:rPr>
                      <w:lang w:val="en-US"/>
                      <w:rFonts w:ascii="Georgia" w:hAnsi="Georgia" w:cs="Georgia"/>
                      <w:u w:val="none"/>
                      <w:sz w:val="24"/>
                      <w:szCs w:val="24"/>
                      <w:color w:val="000000"/>
                    </w:rPr>
                    <w:t>Acting for a Japanese pharmaceutical company in an ICC arbitration against a Singaporean drug manufacturer in a matter in which over USD 400 million was being claimed.</w:t>
                  </w:r>
                  <w:r>
                    <w:rPr>
                      <w:lang w:val="en-US"/>
                      <w:u w:val="none"/>
                    </w:rPr>
                    <w:br/>
                  </w:r>
                  <w:r>
                    <w:rPr>
                      <w:lang w:val="en-US"/>
                      <w:u w:val="none"/>
                    </w:rPr>
                    <w:br/>
                  </w:r>
                  <w:r>
                    <w:rPr>
                      <w:lang w:val="en-US"/>
                      <w:rFonts w:ascii="Georgia" w:hAnsi="Georgia" w:cs="Georgia"/>
                      <w:u w:val="none"/>
                      <w:sz w:val="24"/>
                      <w:szCs w:val="24"/>
                      <w:color w:val="000000"/>
                    </w:rPr>
                    <w:t>Advising a global pharmaceutical company in a dispute with an English pharmaceutical company arising out of a License and Supply Agreement in which damages over EUR 250 million were claimed.</w:t>
                  </w:r>
                  <w:r>
                    <w:rPr>
                      <w:lang w:val="en-US"/>
                      <w:u w:val="none"/>
                    </w:rPr>
                    <w:br/>
                  </w:r>
                  <w:r>
                    <w:rPr>
                      <w:lang w:val="en-US"/>
                      <w:u w:val="none"/>
                    </w:rPr>
                    <w:br/>
                  </w:r>
                  <w:r>
                    <w:rPr>
                      <w:lang w:val="en-US"/>
                      <w:rFonts w:ascii="Georgia" w:hAnsi="Georgia" w:cs="Georgia"/>
                      <w:u w:val="none"/>
                      <w:sz w:val="24"/>
                      <w:szCs w:val="24"/>
                      <w:color w:val="000000"/>
                    </w:rPr>
                    <w:t>Advising a European pharmaceutical company in a USD 100 million dispute arising out of a License, Supply and Co-Development Agreement.  </w:t>
                  </w:r>
                  <w:r>
                    <w:rPr>
                      <w:lang w:val="en-US"/>
                      <w:u w:val="none"/>
                    </w:rPr>
                    <w:br/>
                  </w:r>
                  <w:r>
                    <w:rPr>
                      <w:lang w:val="en-US"/>
                      <w:u w:val="none"/>
                    </w:rPr>
                    <w:br/>
                  </w:r>
                  <w:r>
                    <w:rPr>
                      <w:lang w:val="en-US"/>
                      <w:rFonts w:ascii="Georgia" w:hAnsi="Georgia" w:cs="Georgia"/>
                      <w:u w:val="none"/>
                      <w:sz w:val="24"/>
                      <w:szCs w:val="24"/>
                      <w:color w:val="000000"/>
                    </w:rPr>
                    <w:t>Advising a European drug developer in a mediation with a global pharmaceutical company arising out of a Development and License Agreement.</w:t>
                  </w:r>
                  <w:r>
                    <w:rPr>
                      <w:lang w:val="en-US"/>
                      <w:u w:val="none"/>
                    </w:rPr>
                    <w:br/>
                  </w:r>
                  <w:r>
                    <w:rPr>
                      <w:lang w:val="en-US"/>
                      <w:u w:val="none"/>
                    </w:rPr>
                    <w:br/>
                  </w:r>
                  <w:r>
                    <w:rPr>
                      <w:lang w:val="en-US"/>
                      <w:rFonts w:ascii="Georgia" w:hAnsi="Georgia" w:cs="Georgia"/>
                      <w:u w:val="none"/>
                      <w:sz w:val="24"/>
                      <w:szCs w:val="24"/>
                      <w:color w:val="000000"/>
                    </w:rPr>
                    <w:t>Acting for a Hong Kong based security trustee in an LCIA arbitration against two individuals arising out of Suretyship Deeds.</w:t>
                  </w:r>
                  <w:r>
                    <w:rPr>
                      <w:lang w:val="en-US"/>
                      <w:u w:val="none"/>
                    </w:rPr>
                    <w:br/>
                  </w:r>
                  <w:r>
                    <w:rPr>
                      <w:lang w:val="en-US"/>
                      <w:u w:val="none"/>
                    </w:rPr>
                    <w:br/>
                  </w:r>
                  <w:r>
                    <w:rPr>
                      <w:lang w:val="en-US"/>
                      <w:rFonts w:ascii="Georgia" w:hAnsi="Georgia" w:cs="Georgia"/>
                      <w:u w:val="none"/>
                      <w:sz w:val="24"/>
                      <w:szCs w:val="24"/>
                      <w:color w:val="000000"/>
                    </w:rPr>
                    <w:t>Acting for a security trustee and two funds managed by a US based emerging markets specialist investment firm in an LCIA arbitration arising out of a Facility Agreement.</w:t>
                  </w:r>
                  <w:r>
                    <w:rPr>
                      <w:lang w:val="en-US"/>
                      <w:u w:val="none"/>
                    </w:rPr>
                    <w:br/>
                  </w:r>
                  <w:r>
                    <w:rPr>
                      <w:lang w:val="en-US"/>
                      <w:u w:val="none"/>
                    </w:rPr>
                    <w:br/>
                  </w:r>
                  <w:r>
                    <w:rPr>
                      <w:lang w:val="en-US"/>
                      <w:rFonts w:ascii="Georgia" w:hAnsi="Georgia" w:cs="Georgia"/>
                      <w:u w:val="none"/>
                      <w:sz w:val="24"/>
                      <w:szCs w:val="24"/>
                      <w:color w:val="000000"/>
                    </w:rPr>
                    <w:t>Acting for a security trustee in an LCIA arbitration arising out of two Share Pledge agreements.</w:t>
                  </w:r>
                  <w:r>
                    <w:rPr>
                      <w:lang w:val="en-US"/>
                      <w:u w:val="none"/>
                    </w:rPr>
                    <w:br/>
                  </w:r>
                  <w:r>
                    <w:rPr>
                      <w:lang w:val="en-US"/>
                      <w:u w:val="none"/>
                    </w:rPr>
                    <w:br/>
                  </w:r>
                  <w:r>
                    <w:rPr>
                      <w:lang w:val="en-US"/>
                      <w:rFonts w:ascii="Georgia" w:hAnsi="Georgia" w:cs="Georgia"/>
                      <w:u w:val="none"/>
                      <w:sz w:val="24"/>
                      <w:szCs w:val="24"/>
                      <w:color w:val="000000"/>
                    </w:rPr>
                    <w:t>Representing a US alternative investment group in an LCIA arbitration seated in London against Tunisian joint Claimants arising out of a complex financing transaction.</w:t>
                  </w:r>
                  <w:r>
                    <w:rPr>
                      <w:lang w:val="en-US"/>
                      <w:u w:val="none"/>
                    </w:rPr>
                    <w:br/>
                  </w:r>
                  <w:r>
                    <w:rPr>
                      <w:lang w:val="en-US"/>
                      <w:u w:val="none"/>
                    </w:rPr>
                    <w:br/>
                  </w:r>
                  <w:r>
                    <w:rPr>
                      <w:lang w:val="en-US"/>
                      <w:rFonts w:ascii="Georgia" w:hAnsi="Georgia" w:cs="Georgia"/>
                      <w:u w:val="none"/>
                      <w:sz w:val="24"/>
                      <w:szCs w:val="24"/>
                      <w:color w:val="000000"/>
                    </w:rPr>
                    <w:t>Acting for joint Claimants in an LCIA arbitration against an Indonesian bank arising out of a Repurchase Agreement.</w:t>
                  </w:r>
                  <w:r>
                    <w:rPr>
                      <w:lang w:val="en-US"/>
                      <w:u w:val="none"/>
                    </w:rPr>
                    <w:br/>
                  </w:r>
                  <w:r>
                    <w:rPr>
                      <w:lang w:val="en-US"/>
                      <w:u w:val="none"/>
                    </w:rPr>
                    <w:br/>
                  </w:r>
                  <w:r>
                    <w:rPr>
                      <w:lang w:val="en-US"/>
                      <w:rFonts w:ascii="Georgia" w:hAnsi="Georgia" w:cs="Georgia"/>
                      <w:u w:val="none"/>
                      <w:sz w:val="24"/>
                      <w:szCs w:val="24"/>
                      <w:color w:val="000000"/>
                    </w:rPr>
                    <w:t>Acting for joint French and Egyptian Claimants in an ICC arbitration seated in Geneva arising out of alleged breaches of an Egyptian law governed Settlement Agreement.</w:t>
                  </w:r>
                  <w:r>
                    <w:rPr>
                      <w:lang w:val="en-US"/>
                      <w:u w:val="none"/>
                    </w:rPr>
                    <w:br/>
                  </w:r>
                  <w:r>
                    <w:rPr>
                      <w:lang w:val="en-US"/>
                      <w:u w:val="none"/>
                    </w:rPr>
                    <w:br/>
                  </w:r>
                  <w:r>
                    <w:rPr>
                      <w:lang w:val="en-US"/>
                      <w:rFonts w:ascii="Georgia" w:hAnsi="Georgia" w:cs="Georgia"/>
                      <w:u w:val="none"/>
                      <w:sz w:val="24"/>
                      <w:szCs w:val="24"/>
                      <w:color w:val="000000"/>
                    </w:rPr>
                    <w:t>Representing joint claimants in ICC proceedings against a CIS state arising out of the expiry of a long-term concession agreement in respect of hydroelectric power stations.</w:t>
                  </w:r>
                  <w:r>
                    <w:rPr>
                      <w:lang w:val="en-US"/>
                      <w:u w:val="none"/>
                    </w:rPr>
                    <w:br/>
                  </w:r>
                  <w:r>
                    <w:rPr>
                      <w:lang w:val="en-US"/>
                      <w:u w:val="none"/>
                    </w:rPr>
                    <w:br/>
                  </w:r>
                  <w:r>
                    <w:rPr>
                      <w:lang w:val="en-US"/>
                      <w:rFonts w:ascii="Georgia" w:hAnsi="Georgia" w:cs="Georgia"/>
                      <w:u w:val="none"/>
                      <w:sz w:val="24"/>
                      <w:szCs w:val="24"/>
                      <w:color w:val="000000"/>
                    </w:rPr>
                    <w:t>Representing a major international automotive company in an ICC arbitration against another international automotive company in relation to a dispute concerning a breach of contract.</w:t>
                  </w:r>
                  <w:r>
                    <w:rPr>
                      <w:lang w:val="en-US"/>
                      <w:u w:val="none"/>
                    </w:rPr>
                    <w:br/>
                  </w:r>
                  <w:r>
                    <w:rPr>
                      <w:lang w:val="en-US"/>
                      <w:u w:val="none"/>
                    </w:rPr>
                    <w:br/>
                  </w:r>
                  <w:r>
                    <w:rPr>
                      <w:lang w:val="en-US"/>
                      <w:rFonts w:ascii="Georgia" w:hAnsi="Georgia" w:cs="Georgia"/>
                      <w:u w:val="none"/>
                      <w:sz w:val="24"/>
                      <w:szCs w:val="24"/>
                      <w:color w:val="000000"/>
                    </w:rPr>
                    <w:t>Representing U.S. and UK Claimants in five related LCIA arbitrations arising out of disputes with their Greek and Cypriot franchisees.</w:t>
                  </w:r>
                  <w:r>
                    <w:rPr>
                      <w:lang w:val="en-US"/>
                      <w:u w:val="none"/>
                    </w:rPr>
                    <w:br/>
                  </w:r>
                  <w:r>
                    <w:rPr>
                      <w:lang w:val="en-US"/>
                      <w:u w:val="none"/>
                    </w:rPr>
                    <w:br/>
                  </w:r>
                  <w:r>
                    <w:rPr>
                      <w:lang w:val="en-US"/>
                      <w:rFonts w:ascii="Georgia" w:hAnsi="Georgia" w:cs="Georgia"/>
                      <w:u w:val="none"/>
                      <w:sz w:val="24"/>
                      <w:szCs w:val="24"/>
                      <w:color w:val="000000"/>
                    </w:rPr>
                    <w:t>Acting for joint claimants against a multinational energy company in the damages phase of two LCIA arbitrations.</w:t>
                  </w:r>
                  <w:r>
                    <w:rPr>
                      <w:lang w:val="en-US"/>
                      <w:u w:val="none"/>
                    </w:rPr>
                    <w:br/>
                  </w:r>
                  <w:r>
                    <w:rPr>
                      <w:lang w:val="en-US"/>
                      <w:u w:val="none"/>
                    </w:rPr>
                    <w:br/>
                  </w:r>
                  <w:r>
                    <w:rPr>
                      <w:lang w:val="en-US"/>
                      <w:rFonts w:ascii="Georgia" w:hAnsi="Georgia" w:cs="Georgia"/>
                      <w:u w:val="none"/>
                      <w:sz w:val="24"/>
                      <w:szCs w:val="24"/>
                      <w:color w:val="000000"/>
                    </w:rPr>
                    <w:t>Representing an international manufacturer and supplier of components for the aerospace market in an ICC arbitration in relation to breaches of warranties in a SPA.</w:t>
                  </w:r>
                  <w:r>
                    <w:rPr>
                      <w:lang w:val="en-US"/>
                      <w:u w:val="none"/>
                    </w:rPr>
                    <w:br/>
                  </w:r>
                  <w:r>
                    <w:rPr>
                      <w:lang w:val="en-US"/>
                      <w:u w:val="none"/>
                    </w:rPr>
                    <w:br/>
                  </w:r>
                  <w:r>
                    <w:rPr>
                      <w:lang w:val="en-US"/>
                      <w:rFonts w:ascii="Georgia" w:hAnsi="Georgia" w:cs="Georgia"/>
                      <w:u w:val="none"/>
                      <w:sz w:val="24"/>
                      <w:szCs w:val="24"/>
                      <w:color w:val="000000"/>
                    </w:rPr>
                    <w:t>Advising the Respondents in English Court proceedings relating to the challenge of an arbitration award pursuant to ss.67 and 68 of the Arbitration Act.</w:t>
                  </w:r>
                  <w:r>
                    <w:rPr>
                      <w:lang w:val="en-US"/>
                      <w:u w:val="none"/>
                    </w:rPr>
                    <w:br/>
                  </w:r>
                  <w:r>
                    <w:rPr>
                      <w:lang w:val="en-US"/>
                      <w:u w:val="none"/>
                    </w:rPr>
                    <w:br/>
                  </w:r>
                  <w:r>
                    <w:rPr>
                      <w:lang w:val="en-US"/>
                      <w:rFonts w:ascii="Georgia" w:hAnsi="Georgia" w:cs="Georgia"/>
                      <w:u w:val="none"/>
                      <w:sz w:val="24"/>
                      <w:szCs w:val="24"/>
                      <w:color w:val="000000"/>
                    </w:rPr>
                    <w:t>Representing a major international drinks company in an ICC arbitration against another international drinks company in relation to a Kenyan JV dispute.</w:t>
                  </w:r>
                  <w:r>
                    <w:rPr>
                      <w:lang w:val="en-US"/>
                      <w:u w:val="none"/>
                    </w:rPr>
                    <w:br/>
                  </w:r>
                  <w:r>
                    <w:rPr>
                      <w:lang w:val="en-US"/>
                      <w:u w:val="none"/>
                    </w:rPr>
                    <w:br/>
                  </w:r>
                  <w:r>
                    <w:rPr>
                      <w:lang w:val="en-US"/>
                      <w:rFonts w:ascii="Georgia" w:hAnsi="Georgia" w:cs="Georgia"/>
                      <w:u w:val="none"/>
                      <w:sz w:val="24"/>
                      <w:szCs w:val="24"/>
                      <w:color w:val="000000"/>
                    </w:rPr>
                    <w:t>Representing a Middle East energy company in a multi-billion dollar ad hoc arbitration relating to a long term gas supply contract against a national oil company.</w:t>
                  </w:r>
                </w:p>
              </w:tc>
            </w:tr>
          </w:tbl>
          <w:p w:rsidR="004A1494"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9_Awards and ranking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Awards and rankings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0_AwardsandrankingsList"/>
            </w:tblPr>
            <w:tblGrid>
              <w:gridCol w:w="5841"/>
            </w:tblGrid>
            <w:tr>
              <w:tc>
                <w:tcPr>
                  <w:tcW w:w="5846.4" w:type="dxa"/>
                </w:tcPr>
                <w:p>
                  <w:pPr/>
                </w:p>
                <w:p>
                  <w:pPr>
                    <w:numPr>
                      <w:ilvl w:val="0"/>
                      <w:numId w:val="4"/>
                    </w:numPr>
                    <w:spacing w:after="0"/>
                  </w:pPr>
                  <w:r>
                    <w:rPr>
                      <w:rFonts w:ascii="Georgia" w:hAnsi="Georgia" w:cs="Georgia"/>
                      <w:sz w:val="24"/>
                      <w:szCs w:val="24"/>
                    </w:rPr>
                    <w:t xml:space="preserve">Rising Star in International Arbitration, </w:t>
                  </w:r>
                  <w:r>
                    <w:rPr>
                      <w:lang w:val="en-US"/>
                      <w:rFonts w:ascii="Georgia" w:hAnsi="Georgia" w:cs="Georgia"/>
                      <w:i/>
                      <w:u w:val="none"/>
                      <w:sz w:val="24"/>
                      <w:szCs w:val="24"/>
                      <w:color w:val="000000"/>
                    </w:rPr>
                    <w:t>Legal 500</w:t>
                  </w:r>
                  <w:r>
                    <w:rPr>
                      <w:rFonts w:ascii="Georgia" w:hAnsi="Georgia" w:cs="Georgia"/>
                      <w:sz w:val="24"/>
                      <w:szCs w:val="24"/>
                    </w:rPr>
                    <w:t>, 2021-2023</w:t>
                  </w:r>
                </w:p>
              </w:tc>
            </w:tr>
            <w:tr>
              <w:tc>
                <w:tcPr>
                  <w:tcW w:w="5846.4" w:type="dxa"/>
                </w:tcPr>
                <w:p>
                  <w:pPr/>
                </w:p>
                <w:p>
                  <w:pPr>
                    <w:numPr>
                      <w:ilvl w:val="0"/>
                      <w:numId w:val="5"/>
                    </w:numPr>
                    <w:spacing w:after="0"/>
                  </w:pPr>
                  <w:r>
                    <w:rPr>
                      <w:rFonts w:ascii="Georgia" w:hAnsi="Georgia" w:cs="Georgia"/>
                      <w:sz w:val="24"/>
                      <w:szCs w:val="24"/>
                    </w:rPr>
                    <w:t xml:space="preserve">International Arbitration Team of the Year, </w:t>
                  </w:r>
                  <w:r>
                    <w:rPr>
                      <w:lang w:val="en-US"/>
                      <w:rFonts w:ascii="Georgia" w:hAnsi="Georgia" w:cs="Georgia"/>
                      <w:i/>
                      <w:u w:val="none"/>
                      <w:sz w:val="24"/>
                      <w:szCs w:val="24"/>
                      <w:color w:val="000000"/>
                    </w:rPr>
                    <w:t>Legal Business Awards</w:t>
                  </w:r>
                  <w:r>
                    <w:rPr>
                      <w:rFonts w:ascii="Georgia" w:hAnsi="Georgia" w:cs="Georgia"/>
                      <w:sz w:val="24"/>
                      <w:szCs w:val="24"/>
                    </w:rPr>
                    <w:t>, 2025</w:t>
                  </w:r>
                </w:p>
              </w:tc>
            </w:tr>
            <w:tr>
              <w:tc>
                <w:tcPr>
                  <w:tcW w:w="5846.4" w:type="dxa"/>
                </w:tcPr>
                <w:p>
                  <w:pPr/>
                </w:p>
                <w:p>
                  <w:pPr>
                    <w:numPr>
                      <w:ilvl w:val="0"/>
                      <w:numId w:val="6"/>
                    </w:numPr>
                    <w:spacing w:after="0"/>
                  </w:pPr>
                  <w:r>
                    <w:rPr>
                      <w:rFonts w:ascii="Georgia" w:hAnsi="Georgia" w:cs="Georgia"/>
                      <w:sz w:val="24"/>
                      <w:szCs w:val="24"/>
                    </w:rPr>
                    <w:t xml:space="preserve">Next Generation Partner, </w:t>
                  </w:r>
                  <w:r>
                    <w:rPr>
                      <w:lang w:val="en-US"/>
                      <w:rFonts w:ascii="Georgia" w:hAnsi="Georgia" w:cs="Georgia"/>
                      <w:i/>
                      <w:u w:val="none"/>
                      <w:sz w:val="24"/>
                      <w:szCs w:val="24"/>
                      <w:color w:val="000000"/>
                    </w:rPr>
                    <w:t>Legal 500</w:t>
                  </w:r>
                  <w:r>
                    <w:rPr>
                      <w:rFonts w:ascii="Georgia" w:hAnsi="Georgia" w:cs="Georgia"/>
                      <w:sz w:val="24"/>
                      <w:szCs w:val="24"/>
                    </w:rPr>
                    <w:t>, 2025-2026</w:t>
                  </w:r>
                </w:p>
              </w:tc>
            </w:tr>
          </w:tbl>
          <w:p>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Latest thinking and events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Tribunal's failure to engage with new argument raised in closing submissions not sufficient ground to challenge award for procedural irregularity under s.68 of the Arbitration Act 1996</w:t>
                  </w:r>
                  <w:r>
                    <w:rPr>
                      <w:rFonts w:ascii="Georgia" w:hAnsi="Georgia" w:cs="Georgia"/>
                      <w:sz w:val="20"/>
                      <w:szCs w:val="20"/>
                    </w:rPr>
                    <w:br/>
                  </w:r>
                  <w:r>
                    <w:rPr>
                      <w:rFonts w:ascii="Georgia" w:hAnsi="Georgia" w:cs="Georgia"/>
                      <w:sz w:val="20"/>
                      <w:szCs w:val="20"/>
                    </w:rPr>
                    <w:t>05 February 2026</w:t>
                  </w:r>
                </w:p>
              </w:tc>
            </w:tr>
            <w:tr>
              <w:tc>
                <w:tcPr>
                  <w:tcW w:w="5846.4" w:type="dxa"/>
                </w:tcPr>
                <w:p>
                  <w:pPr>
                    <w:spacing w:after="220"/>
                  </w:pPr>
                  <w:r>
                    <w:rPr>
                      <w:lang w:val="en-US"/>
                      <w:rFonts w:ascii="Georgia" w:hAnsi="Georgia" w:cs="Georgia"/>
                      <w:u w:val="none"/>
                      <w:sz w:val="24"/>
                      <w:szCs w:val="24"/>
                      <w:color w:val="58A618"/>
                    </w:rPr>
                    <w:t>Awards &amp; rankings</w:t>
                  </w:r>
                  <w:r>
                    <w:rPr>
                      <w:rFonts w:ascii="Georgia" w:hAnsi="Georgia" w:cs="Georgia"/>
                      <w:sz w:val="24"/>
                      <w:szCs w:val="24"/>
                    </w:rPr>
                    <w:br/>
                  </w:r>
                  <w:r>
                    <w:rPr>
                      <w:rFonts w:ascii="Georgia" w:hAnsi="Georgia" w:cs="Georgia"/>
                      <w:sz w:val="24"/>
                      <w:szCs w:val="24"/>
                    </w:rPr>
                    <w:t>Hogan Lovells wins International Arbitration Team of the Year at the Legal Business Awards</w:t>
                  </w:r>
                  <w:r>
                    <w:rPr>
                      <w:rFonts w:ascii="Georgia" w:hAnsi="Georgia" w:cs="Georgia"/>
                      <w:sz w:val="20"/>
                      <w:szCs w:val="20"/>
                    </w:rPr>
                    <w:br/>
                  </w:r>
                  <w:r>
                    <w:rPr>
                      <w:rFonts w:ascii="Georgia" w:hAnsi="Georgia" w:cs="Georgia"/>
                      <w:sz w:val="20"/>
                      <w:szCs w:val="20"/>
                    </w:rPr>
                    <w:t>02 October 2025</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No pre-emptive strikes: English Court of Appeal confirms that the New York Convention is a shield not a sword</w:t>
                  </w:r>
                  <w:r>
                    <w:rPr>
                      <w:rFonts w:ascii="Georgia" w:hAnsi="Georgia" w:cs="Georgia"/>
                      <w:sz w:val="20"/>
                      <w:szCs w:val="20"/>
                    </w:rPr>
                    <w:br/>
                  </w:r>
                  <w:r>
                    <w:rPr>
                      <w:rFonts w:ascii="Georgia" w:hAnsi="Georgia" w:cs="Georgia"/>
                      <w:sz w:val="20"/>
                      <w:szCs w:val="20"/>
                    </w:rPr>
                    <w:t>29 September 2025</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Digital disputes on the rise: international arbitration at the forefront?</w:t>
                  </w:r>
                  <w:r>
                    <w:rPr>
                      <w:rFonts w:ascii="Georgia" w:hAnsi="Georgia" w:cs="Georgia"/>
                      <w:sz w:val="20"/>
                      <w:szCs w:val="20"/>
                    </w:rPr>
                    <w:br/>
                  </w:r>
                  <w:r>
                    <w:rPr>
                      <w:rFonts w:ascii="Georgia" w:hAnsi="Georgia" w:cs="Georgia"/>
                      <w:sz w:val="20"/>
                      <w:szCs w:val="20"/>
                    </w:rPr>
                    <w:t>09 September 2025</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Using AI in International Arbitration: what parties and arbitrators need to think about</w:t>
                  </w:r>
                  <w:r>
                    <w:rPr>
                      <w:rFonts w:ascii="Georgia" w:hAnsi="Georgia" w:cs="Georgia"/>
                      <w:sz w:val="20"/>
                      <w:szCs w:val="20"/>
                    </w:rPr>
                    <w:br/>
                  </w:r>
                  <w:r>
                    <w:rPr>
                      <w:rFonts w:ascii="Georgia" w:hAnsi="Georgia" w:cs="Georgia"/>
                      <w:sz w:val="20"/>
                      <w:szCs w:val="20"/>
                    </w:rPr>
                    <w:t>06 June 2025</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Springtime for English arbitration: Arbitration Act 2025 hits the statute book</w:t>
                  </w:r>
                  <w:r>
                    <w:rPr>
                      <w:rFonts w:ascii="Georgia" w:hAnsi="Georgia" w:cs="Georgia"/>
                      <w:sz w:val="20"/>
                      <w:szCs w:val="20"/>
                    </w:rPr>
                    <w:br/>
                  </w:r>
                  <w:r>
                    <w:rPr>
                      <w:rFonts w:ascii="Georgia" w:hAnsi="Georgia" w:cs="Georgia"/>
                      <w:sz w:val="20"/>
                      <w:szCs w:val="20"/>
                    </w:rPr>
                    <w:t>25 February 2025</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ba3e8316c64edd"/>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en-US"/>
                      <w:rFonts w:ascii="Georgia" w:hAnsi="Georgia" w:cs="Georgia"/>
                      <w:u w:val="none"/>
                      <w:sz w:val="36"/>
                      <w:szCs w:val="36"/>
                      <w:color w:val="000000"/>
                    </w:rPr>
                    <w:t>Phone</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en-US"/>
                      <w:rFonts w:ascii="Georgia" w:hAnsi="Georgia" w:cs="Georgia"/>
                      <w:u w:val="none"/>
                      <w:sz w:val="24"/>
                      <w:szCs w:val="24"/>
                      <w:color w:val="000000"/>
                    </w:rPr>
                    <w:t>+44 20 7296 5544</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en-US"/>
                      <w:rFonts w:ascii="Georgia" w:hAnsi="Georgia" w:cs="Georgia"/>
                      <w:u w:val="none"/>
                      <w:sz w:val="24"/>
                      <w:szCs w:val="24"/>
                      <w:color w:val="000000"/>
                    </w:rPr>
                    <w:t>+44 20 7296 2001</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cf6b7e0740ac426a" w:history="1">
                    <w:r>
                      <w:rPr>
                        <w:rStyle w:val="Hyperlink"/>
                        <w:rFonts w:ascii="Georgia" w:hAnsi="Georgia" w:cs="Georgia"/>
                        <w:sz w:val="22"/>
                        <w:szCs w:val="22"/>
                        <w:u w:val="none"/>
                      </w:rPr>
                      <w:t>annabel.maltby@hoganlovells.com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1_Languages"/>
            </w:tblPr>
            <w:tblGrid>
              <w:gridCol w:w="3684"/>
            </w:tblGrid>
            <w:tr w:rsidR="004A1494" w:rsidTr="00B67200">
              <w:tc>
                <w:tcPr>
                  <w:tcW w:w="3684" w:type="dxa"/>
                </w:tcPr>
                <w:p w:rsidR="004A1494" w:rsidRPr="00F90870" w:rsidRDefault="004A1494">
                  <w:pPr>
                    <w:rPr>
                      <w:sz w:val="44"/>
                      <w:szCs w:val="44"/>
                    </w:rPr>
                  </w:pPr>
                  <w:r>
                    <w:rPr>
                      <w:lang w:val="en-US"/>
                      <w:rFonts w:ascii="Calibri" w:hAnsi="Calibri" w:cs="Calibri"/>
                      <w:u w:val="none"/>
                      <w:sz w:val="40"/>
                      <w:szCs w:val="40"/>
                      <w:color w:val="58A618"/>
                    </w:rPr>
                    <w:t>Languages</w: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2_LanguagesList"/>
            </w:tblPr>
            <w:tblGrid>
              <w:gridCol w:w="3684"/>
            </w:tblGrid>
            <w:tr>
              <w:tc>
                <w:tcPr>
                  <w:tcW w:w="3686.4" w:type="dxa"/>
                </w:tcPr>
                <w:p>
                  <w:pPr>
                    <w:spacing w:after="220"/>
                  </w:pPr>
                  <w:r>
                    <w:rPr>
                      <w:lang w:val="en-US"/>
                      <w:rFonts w:ascii="Georgia" w:hAnsi="Georgia" w:cs="Georgia"/>
                      <w:u w:val="none"/>
                      <w:sz w:val="24"/>
                      <w:szCs w:val="24"/>
                      <w:color w:val="000000"/>
                    </w:rPr>
                    <w:t>English</w:t>
                  </w:r>
                </w:p>
              </w:tc>
            </w:tr>
          </w:tbl>
          <w:p w:rsidR="00423DCE" w:rsidRPr="007007D0" w:rsidRDefault="00423DCE">
            <w:pPr>
              <w:rPr>
                <w:b w:val="0"/>
                <w:bCs w:val="0"/>
                <w:sz w:val="2"/>
                <w:szCs w:val="2"/>
              </w:rPr>
            </w:pPr>
          </w:p>
          <w:tbl>
            <w:tblPr>
              <w:tblStyle w:val="TableGrid"/>
              <w:tblW w:w="3730" w:type="dxa"/>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3_border2"/>
            </w:tblPr>
            <w:tblGrid>
              <w:gridCol w:w="3730"/>
            </w:tblGrid>
            <w:tr w:rsidR="00423DCE" w:rsidTr="007007D0">
              <w:trPr>
                <w:trHeight w:val="253"/>
              </w:trPr>
              <w:tc>
                <w:tcPr>
                  <w:tcW w:w="3730" w:type="dxa"/>
                </w:tcPr>
                <w:p w:rsidR="00423DCE" w:rsidRDefault="00423DCE">
                  <w:pPr>
                    <w:rPr>
                      <w:sz w:val="20"/>
                      <w:szCs w:val="20"/>
                    </w:rPr>
                  </w:pPr>
                  <w:r w:rsidRPr="003D3503">
                    <w:rPr>
                      <w:noProof/>
                      <w:color w:val="E7E6E6" w:themeColor="background2"/>
                      <w:sz w:val="16"/>
                      <w:szCs w:val="16"/>
                    </w:rPr>
                    <mc:AlternateContent>
                      <mc:Choice Requires="wps">
                        <w:drawing>
                          <wp:anchor distT="0" distB="0" distL="114300" distR="114300" simplePos="0" relativeHeight="251700224" behindDoc="0" locked="0" layoutInCell="1" allowOverlap="1" wp14:anchorId="0D3DFF00" wp14:editId="1E6C5FB2">
                            <wp:simplePos x="0" y="0"/>
                            <wp:positionH relativeFrom="column">
                              <wp:posOffset>-1905</wp:posOffset>
                            </wp:positionH>
                            <wp:positionV relativeFrom="paragraph">
                              <wp:posOffset>59056</wp:posOffset>
                            </wp:positionV>
                            <wp:extent cx="221932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FA7A1E" id="Straight Connector 1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65pt" to="174.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" strokecolor="#ccc" strokeweight="1.5pt">
                            <v:stroke joinstyle="miter"/>
                          </v:line>
                        </w:pict>
                      </mc:Fallback>
                    </mc:AlternateContent>
                  </w:r>
                </w:p>
              </w:tc>
            </w:tr>
          </w:tbl>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en-US"/>
                      <w:rFonts w:ascii="Calibri" w:hAnsi="Calibri" w:cs="Calibri"/>
                      <w:u w:val="none"/>
                      <w:sz w:val="40"/>
                      <w:szCs w:val="40"/>
                      <w:color w:val="58A618"/>
                    </w:rPr>
                    <w:t>Practices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df4fc53d209e400a" w:history="1">
                    <w:r>
                      <w:rPr>
                        <w:rStyle w:val="Hyperlink"/>
                        <w:rFonts w:ascii="Georgia" w:hAnsi="Georgia" w:cs="Georgia"/>
                        <w:sz w:val="24"/>
                        <w:szCs w:val="24"/>
                      </w:rPr>
                      <w:t>International Arbitration</w:t>
                    </w:r>
                  </w:hyperlink>
                </w:p>
              </w:tc>
            </w:tr>
            <w:tr>
              <w:tc>
                <w:tcPr>
                  <w:tcW w:w="3686.4" w:type="dxa"/>
                </w:tcPr>
                <w:p>
                  <w:pPr>
                    <w:spacing w:after="220"/>
                  </w:pPr>
                  <w:hyperlink r:id="R3522bea7e0634278" w:history="1">
                    <w:r>
                      <w:rPr>
                        <w:rStyle w:val="Hyperlink"/>
                        <w:rFonts w:ascii="Georgia" w:hAnsi="Georgia" w:cs="Georgia"/>
                        <w:sz w:val="24"/>
                        <w:szCs w:val="24"/>
                      </w:rPr>
                      <w:t>Energy Disputes</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7_Industrie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Industries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8_IndustriesList"/>
            </w:tblPr>
            <w:tblGrid>
              <w:gridCol w:w="3684"/>
            </w:tblGrid>
            <w:tr>
              <w:tc>
                <w:tcPr>
                  <w:tcW w:w="3686.4" w:type="dxa"/>
                </w:tcPr>
                <w:p>
                  <w:pPr>
                    <w:spacing w:after="220"/>
                  </w:pPr>
                  <w:hyperlink r:id="Re7cb0926a7e348aa" w:history="1">
                    <w:r>
                      <w:rPr>
                        <w:rStyle w:val="Hyperlink"/>
                        <w:rFonts w:ascii="Georgia" w:hAnsi="Georgia" w:cs="Georgia"/>
                        <w:sz w:val="24"/>
                        <w:szCs w:val="24"/>
                      </w:rPr>
                      <w:t>Energy</w:t>
                    </w:r>
                  </w:hyperlink>
                </w:p>
              </w:tc>
            </w:tr>
            <w:tr>
              <w:tc>
                <w:tcPr>
                  <w:tcW w:w="3686.4" w:type="dxa"/>
                </w:tcPr>
                <w:p>
                  <w:pPr>
                    <w:spacing w:after="220"/>
                  </w:pPr>
                  <w:hyperlink r:id="R8cebb62c6aad4991" w:history="1">
                    <w:r>
                      <w:rPr>
                        <w:rStyle w:val="Hyperlink"/>
                        <w:rFonts w:ascii="Georgia" w:hAnsi="Georgia" w:cs="Georgia"/>
                        <w:sz w:val="24"/>
                        <w:szCs w:val="24"/>
                      </w:rPr>
                      <w:t>Financial Institutions</w:t>
                    </w:r>
                  </w:hyperlink>
                </w:p>
              </w:tc>
            </w:tr>
            <w:tr>
              <w:tc>
                <w:tcPr>
                  <w:tcW w:w="3686.4" w:type="dxa"/>
                </w:tcPr>
                <w:p>
                  <w:pPr>
                    <w:spacing w:after="220"/>
                  </w:pPr>
                  <w:hyperlink r:id="Rafc901b937044014" w:history="1">
                    <w:r>
                      <w:rPr>
                        <w:rStyle w:val="Hyperlink"/>
                        <w:rFonts w:ascii="Georgia" w:hAnsi="Georgia" w:cs="Georgia"/>
                        <w:sz w:val="24"/>
                        <w:szCs w:val="24"/>
                      </w:rPr>
                      <w:t>Life Sciences and Health Care</w:t>
                    </w:r>
                  </w:hyperlink>
                </w:p>
              </w:tc>
            </w:tr>
            <w:tr>
              <w:tc>
                <w:tcPr>
                  <w:tcW w:w="3686.4" w:type="dxa"/>
                </w:tcPr>
                <w:p>
                  <w:pPr>
                    <w:spacing w:after="220"/>
                  </w:pPr>
                  <w:hyperlink r:id="Rf3c134d0c48649fc" w:history="1">
                    <w:r>
                      <w:rPr>
                        <w:rStyle w:val="Hyperlink"/>
                        <w:rFonts w:ascii="Georgia" w:hAnsi="Georgia" w:cs="Georgia"/>
                        <w:sz w:val="24"/>
                        <w:szCs w:val="24"/>
                      </w:rPr>
                      <w:t>Consumer</w:t>
                    </w:r>
                  </w:hyperlink>
                </w:p>
              </w:tc>
            </w:tr>
          </w:tbl>
          <w:p w:rsidR="000B7E44" w:rsidRDefault="000B7E4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9_border4"/>
            </w:tblPr>
            <w:tblGrid>
              <w:gridCol w:w="3684"/>
            </w:tblGrid>
            <w:tr w:rsidR="00E30A23" w:rsidTr="00FE240B">
              <w:trPr>
                <w:trHeight w:val="158"/>
              </w:trPr>
              <w:tc>
                <w:tcPr>
                  <w:tcW w:w="3684" w:type="dxa"/>
                </w:tcPr>
                <w:p w:rsidR="00E30A23" w:rsidRPr="003D3503" w:rsidRDefault="0060354B">
                  <w:pPr>
                    <w:rPr>
                      <w:sz w:val="16"/>
                      <w:szCs w:val="16"/>
                    </w:rPr>
                  </w:pPr>
                  <w:r w:rsidRPr="003D3503">
                    <w:rPr>
                      <w:noProof/>
                      <w:color w:val="E7E6E6" w:themeColor="background2"/>
                      <w:sz w:val="16"/>
                      <w:szCs w:val="16"/>
                    </w:rPr>
                    <mc:AlternateContent>
                      <mc:Choice Requires="wps">
                        <w:drawing>
                          <wp:anchor distT="0" distB="0" distL="114300" distR="114300" simplePos="0" relativeHeight="251698176" behindDoc="0" locked="0" layoutInCell="1" allowOverlap="1">
                            <wp:simplePos x="0" y="0"/>
                            <wp:positionH relativeFrom="column">
                              <wp:posOffset>-3175</wp:posOffset>
                            </wp:positionH>
                            <wp:positionV relativeFrom="paragraph">
                              <wp:posOffset>58420</wp:posOffset>
                            </wp:positionV>
                            <wp:extent cx="21907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1907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9D8BB" id="Straight Connector 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6pt" to="172.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" strokecolor="#ccc" strokeweight="1.5pt">
                            <v:stroke joinstyle="miter"/>
                          </v:line>
                        </w:pict>
                      </mc:Fallback>
                    </mc:AlternateContent>
                  </w:r>
                </w:p>
              </w:tc>
            </w:tr>
          </w:tbl>
          <w:p w:rsidR="00E30A23" w:rsidRPr="00F20A7A" w:rsidRDefault="00E30A23">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0_Areas of Focu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Areas of focus</w:t>
                  </w:r>
                </w:p>
              </w:tc>
            </w:tr>
          </w:tbl>
          <w:p w:rsidR="004A1494" w:rsidRPr="00F20A7A" w:rsidRDefault="004A149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1_AreaofFocusList"/>
            </w:tblPr>
            <w:tblGrid>
              <w:gridCol w:w="3684"/>
            </w:tblGrid>
            <w:tr>
              <w:tc>
                <w:tcPr>
                  <w:tcW w:w="3686.4" w:type="dxa"/>
                </w:tcPr>
                <w:p>
                  <w:pPr>
                    <w:spacing w:after="220"/>
                  </w:pPr>
                  <w:hyperlink r:id="Rf101a53c85684582" w:history="1">
                    <w:r>
                      <w:rPr>
                        <w:rStyle w:val="Hyperlink"/>
                        <w:rFonts w:ascii="Georgia" w:hAnsi="Georgia" w:cs="Georgia"/>
                        <w:sz w:val="24"/>
                        <w:szCs w:val="24"/>
                      </w:rPr>
                      <w:t>Alternative Dispute Resolution</w:t>
                    </w:r>
                  </w:hyperlink>
                </w:p>
              </w:tc>
            </w:tr>
            <w:tr>
              <w:tc>
                <w:tcPr>
                  <w:tcW w:w="3686.4" w:type="dxa"/>
                </w:tcPr>
                <w:p>
                  <w:pPr>
                    <w:spacing w:after="220"/>
                  </w:pPr>
                  <w:hyperlink r:id="R312efd45763548a6" w:history="1">
                    <w:r>
                      <w:rPr>
                        <w:rStyle w:val="Hyperlink"/>
                        <w:rFonts w:ascii="Georgia" w:hAnsi="Georgia" w:cs="Georgia"/>
                        <w:sz w:val="24"/>
                        <w:szCs w:val="24"/>
                      </w:rPr>
                      <w:t>Pharmaceuticals and Biotechnology</w:t>
                    </w:r>
                  </w:hyperlink>
                </w:p>
              </w:tc>
            </w:tr>
          </w:tbl>
          <w:p w:rsidR="00D66ED7"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2_border5"/>
            </w:tblPr>
            <w:tblGrid>
              <w:gridCol w:w="3684"/>
            </w:tblGrid>
            <w:tr w:rsidR="0060354B" w:rsidTr="00FE240B">
              <w:trPr>
                <w:trHeight w:val="158"/>
              </w:trPr>
              <w:tc>
                <w:tcPr>
                  <w:tcW w:w="3684" w:type="dxa"/>
                </w:tcPr>
                <w:p w:rsidR="0060354B" w:rsidRDefault="0060354B">
                  <w:pPr>
                    <w:rPr>
                      <w:sz w:val="4"/>
                      <w:szCs w:val="4"/>
                    </w:rPr>
                  </w:pPr>
                  <w:r w:rsidRPr="009D25A3">
                    <w:rPr>
                      <w:noProof/>
                      <w:color w:val="E7E6E6" w:themeColor="background2"/>
                    </w:rPr>
                    <mc:AlternateContent>
                      <mc:Choice Requires="wps">
                        <w:drawing>
                          <wp:anchor distT="0" distB="0" distL="114300" distR="114300" simplePos="0" relativeHeight="251691008" behindDoc="0" locked="0" layoutInCell="1" allowOverlap="1" wp14:anchorId="2F6A9D8C" wp14:editId="282AE259">
                            <wp:simplePos x="0" y="0"/>
                            <wp:positionH relativeFrom="column">
                              <wp:posOffset>-3174</wp:posOffset>
                            </wp:positionH>
                            <wp:positionV relativeFrom="paragraph">
                              <wp:posOffset>50800</wp:posOffset>
                            </wp:positionV>
                            <wp:extent cx="2209800" cy="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22098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2D387B" id="Straight Connector 7"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pt" to="173.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" strokecolor="#ccc" strokeweight="1.5pt">
                            <v:stroke joinstyle="miter"/>
                          </v:line>
                        </w:pict>
                      </mc:Fallback>
                    </mc:AlternateContent>
                  </w:r>
                </w:p>
              </w:tc>
            </w:tr>
          </w:tbl>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 and admissions</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en-US"/>
                      <w:rFonts w:ascii="Georgia" w:hAnsi="Georgia" w:cs="Georgia"/>
                      <w:u w:val="none"/>
                      <w:sz w:val="24"/>
                      <w:szCs w:val="24"/>
                      <w:color w:val="000000"/>
                    </w:rPr>
                    <w:t>LPC, BPP University Law School, 2008</w:t>
                  </w:r>
                </w:p>
              </w:tc>
            </w:tr>
            <w:tr>
              <w:tc>
                <w:tcPr>
                  <w:tcW w:w="3686.4" w:type="dxa"/>
                </w:tcPr>
                <w:p>
                  <w:pPr>
                    <w:spacing w:after="220"/>
                  </w:pPr>
                  <w:r>
                    <w:rPr>
                      <w:lang w:val="en-US"/>
                      <w:rFonts w:ascii="Georgia" w:hAnsi="Georgia" w:cs="Georgia"/>
                      <w:u w:val="none"/>
                      <w:sz w:val="24"/>
                      <w:szCs w:val="24"/>
                      <w:color w:val="000000"/>
                    </w:rPr>
                    <w:t>GDL, BPP University Law School, 2007</w:t>
                  </w:r>
                </w:p>
              </w:tc>
            </w:tr>
            <w:tr>
              <w:tc>
                <w:tcPr>
                  <w:tcW w:w="3686.4" w:type="dxa"/>
                </w:tcPr>
                <w:p>
                  <w:pPr>
                    <w:spacing w:after="220"/>
                  </w:pPr>
                  <w:r>
                    <w:rPr>
                      <w:lang w:val="en-US"/>
                      <w:rFonts w:ascii="Georgia" w:hAnsi="Georgia" w:cs="Georgia"/>
                      <w:u w:val="none"/>
                      <w:sz w:val="24"/>
                      <w:szCs w:val="24"/>
                      <w:color w:val="000000"/>
                    </w:rPr>
                    <w:t>History BA (Hons), University of Warwick, (Hons), 2006</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7_Memberships"/>
            </w:tblPr>
            <w:tblGrid>
              <w:gridCol w:w="3684"/>
            </w:tblGrid>
            <w:tr w:rsidR="004A1494" w:rsidTr="003A43D4">
              <w:tc>
                <w:tcPr>
                  <w:tcW w:w="3684" w:type="dxa"/>
                </w:tcPr>
                <w:p w:rsidR="004A1494" w:rsidRPr="00F90870" w:rsidRDefault="004A1494">
                  <w:pPr>
                    <w:rPr>
                      <w:sz w:val="44"/>
                      <w:szCs w:val="44"/>
                    </w:rPr>
                  </w:pPr>
                  <w:r>
                    <w:rPr>
                      <w:lang w:val="en-US"/>
                      <w:rFonts w:ascii="Calibri" w:hAnsi="Calibri" w:cs="Calibri"/>
                      <w:u w:val="none"/>
                      <w:sz w:val="40"/>
                      <w:szCs w:val="40"/>
                      <w:color w:val="58A618"/>
                    </w:rPr>
                    <w:t>Memberships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8_MembershipsList"/>
            </w:tblPr>
            <w:tblGrid>
              <w:gridCol w:w="3684"/>
            </w:tblGrid>
            <w:tr>
              <w:tc>
                <w:tcPr>
                  <w:tcW w:w="3686.4" w:type="dxa"/>
                </w:tcPr>
                <w:p>
                  <w:pPr>
                    <w:spacing w:after="220"/>
                  </w:pPr>
                  <w:r>
                    <w:rPr>
                      <w:lang w:val="en-US"/>
                      <w:rFonts w:ascii="Georgia" w:hAnsi="Georgia" w:cs="Georgia"/>
                      <w:u w:val="none"/>
                      <w:sz w:val="24"/>
                      <w:szCs w:val="24"/>
                      <w:color w:val="000000"/>
                    </w:rPr>
                    <w:t>ArbitralWomen</w:t>
                  </w:r>
                </w:p>
              </w:tc>
            </w:tr>
          </w:tbl>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9_border7"/>
            </w:tblPr>
            <w:tblGrid>
              <w:gridCol w:w="3684"/>
            </w:tblGrid>
            <w:tr w:rsidR="00BF719B" w:rsidRPr="00BF719B" w:rsidTr="00FE240B">
              <w:trPr>
                <w:trHeight w:val="158"/>
              </w:trPr>
              <w:tc>
                <w:tcPr>
                  <w:tcW w:w="3684" w:type="dxa"/>
                </w:tcPr>
                <w:p w:rsidR="00BF719B" w:rsidRPr="00D932FF" w:rsidRDefault="00BF719B">
                  <w:pPr>
                    <w:rPr>
                      <w:sz w:val="16"/>
                      <w:szCs w:val="16"/>
                    </w:rPr>
                  </w:pPr>
                  <w:r w:rsidRPr="00D932FF">
                    <w:rPr>
                      <w:noProof/>
                      <w:color w:val="E7E6E6" w:themeColor="background2"/>
                      <w:sz w:val="16"/>
                      <w:szCs w:val="16"/>
                    </w:rPr>
                    <mc:AlternateContent>
                      <mc:Choice Requires="wps">
                        <w:drawing>
                          <wp:anchor distT="0" distB="0" distL="114300" distR="114300" simplePos="0" relativeHeight="251693056" behindDoc="0" locked="0" layoutInCell="1" allowOverlap="1" wp14:anchorId="073BD4AC" wp14:editId="1D5A7BB7">
                            <wp:simplePos x="0" y="0"/>
                            <wp:positionH relativeFrom="column">
                              <wp:posOffset>-12700</wp:posOffset>
                            </wp:positionH>
                            <wp:positionV relativeFrom="paragraph">
                              <wp:posOffset>69215</wp:posOffset>
                            </wp:positionV>
                            <wp:extent cx="22288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E05EB12" id="Straight Connector 13"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5.45pt" to="174.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" strokecolor="#ccc" strokeweight="1.5pt">
                            <v:stroke joinstyle="miter"/>
                          </v:line>
                        </w:pict>
                      </mc:Fallback>
                    </mc:AlternateContent>
                  </w:r>
                </w:p>
              </w:tc>
            </w:tr>
          </w:tbl>
          <w:p w:rsidR="0079721B" w:rsidRDefault="0079721B">
            <w:pPr>
              <w:rPr>
                <w:sz w:val="4"/>
                <w:szCs w:val="4"/>
              </w:rPr>
            </w:pPr>
          </w:p>
          <w:p w:rsidR="0079721B" w:rsidRDefault="0079721B">
            <w:pPr>
              <w:rPr>
                <w:sz w:val="4"/>
                <w:szCs w:val="4"/>
              </w:rPr>
            </w:pPr>
          </w:p>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p w:rsidR="00844541" w:rsidRPr="001A7332" w:rsidRDefault="00844541">
            <w:pPr>
              <w:rPr>
                <w:sz w:val="4"/>
                <w:szCs w:val="4"/>
              </w:rPr>
            </w:pPr>
          </w:p>
          <w:p w:rsidR="004A1494" w:rsidRPr="001A7332" w:rsidRDefault="004A1494">
            <w:pPr>
              <w:rPr>
                <w:sz w:val="4"/>
                <w:szCs w:val="4"/>
              </w:rPr>
            </w:pPr>
          </w:p>
          <w:p w:rsidR="00BF719B" w:rsidRDefault="00BF719B">
            <w:pPr>
              <w:rPr>
                <w:sz w:val="4"/>
                <w:szCs w:val="4"/>
              </w:rPr>
            </w:pPr>
          </w:p>
          <w:p w:rsidR="00BF719B" w:rsidRPr="001A7332" w:rsidRDefault="00BF719B">
            <w:pPr>
              <w:rPr>
                <w:sz w:val="4"/>
                <w:szCs w:val="4"/>
              </w:rPr>
            </w:pPr>
          </w:p>
          <w:p w:rsidR="001A7332" w:rsidRPr="001A7332" w:rsidRDefault="001A7332">
            <w:pPr>
              <w:rPr>
                <w:sz w:val="4"/>
                <w:szCs w:val="4"/>
              </w:rPr>
            </w:pPr>
          </w:p>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num>
  <w:num w:numId="2">
    <w:abstractNumId w:val="1"/>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c8225f91-cc1e-434d-a89a-b8db2afc4433.jpeg" Id="Rf5ba3e8316c64edd" /><Relationship Type="http://schemas.openxmlformats.org/officeDocument/2006/relationships/hyperlink" Target="mailto:annabel.maltby@hoganlovells.com" TargetMode="External" Id="Rcf6b7e0740ac426a" /><Relationship Type="http://schemas.openxmlformats.org/officeDocument/2006/relationships/hyperlink" Target="https://mc-7c5ead77-4153-4f21-9a29-b0c7-cm.azurewebsites.net//en/service/international-arbitration" TargetMode="External" Id="Rdf4fc53d209e400a" /><Relationship Type="http://schemas.openxmlformats.org/officeDocument/2006/relationships/hyperlink" Target="https://mc-7c5ead77-4153-4f21-9a29-b0c7-cm.azurewebsites.net//en/service/energy-disputes" TargetMode="External" Id="R3522bea7e0634278" /><Relationship Type="http://schemas.openxmlformats.org/officeDocument/2006/relationships/hyperlink" Target="https://mc-7c5ead77-4153-4f21-9a29-b0c7-cm.azurewebsites.net//en/sector/energy" TargetMode="External" Id="Re7cb0926a7e348aa" /><Relationship Type="http://schemas.openxmlformats.org/officeDocument/2006/relationships/hyperlink" Target="https://mc-7c5ead77-4153-4f21-9a29-b0c7-cm.azurewebsites.net//en/sector/financial-institutions" TargetMode="External" Id="R8cebb62c6aad4991" /><Relationship Type="http://schemas.openxmlformats.org/officeDocument/2006/relationships/hyperlink" Target="https://mc-7c5ead77-4153-4f21-9a29-b0c7-cm.azurewebsites.net//en/sector/life-sciences-and-healthcare" TargetMode="External" Id="Rafc901b937044014" /><Relationship Type="http://schemas.openxmlformats.org/officeDocument/2006/relationships/hyperlink" Target="https://mc-7c5ead77-4153-4f21-9a29-b0c7-cm.azurewebsites.net//en/sector/consumer" TargetMode="External" Id="Rf3c134d0c48649fc" /><Relationship Type="http://schemas.openxmlformats.org/officeDocument/2006/relationships/hyperlink" Target="https://mc-7c5ead77-4153-4f21-9a29-b0c7-cm.azurewebsites.net/https://www.hoganlovells.com/en/capabilities/practice-category-group/litigation-arbitration-and-employment" TargetMode="External" Id="Rf101a53c85684582" /><Relationship Type="http://schemas.openxmlformats.org/officeDocument/2006/relationships/hyperlink" Target="https://mc-7c5ead77-4153-4f21-9a29-b0c7-cm.azurewebsites.net//en/aof/pharmaceutical-and-biotechnology" TargetMode="External" Id="R312efd45763548a6"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