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Francesca Rolla</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Milan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With almost 30 years' experience, Francesca Rolla's activity spans almost all areas of contentious work (product liability litigation, mass torts and white collar crimes, commercial litigation) across industry sectors as diverse as consumers goods, automotive, insurance and life sciences. She is head of the Investigations, White Collar &amp; Fraud group in Italy. Francesca is one of the Litigation practice's primary liaisons to the firm's global Aerospace &amp; Defense sector team. </w:t>
                  </w:r>
                  <w:r>
                    <w:br/>
                  </w:r>
                </w:p>
                <w:p>
                  <w:pPr>
                    <w:spacing w:line="276"/>
                  </w:pPr>
                  <w:r>
                    <w:rPr>
                      <w:rFonts w:ascii="Georgia" w:hAnsi="Georgia" w:cs="Georgia"/>
                      <w:sz w:val="24"/>
                      <w:szCs w:val="24"/>
                    </w:rPr>
                    <w:t>Be it a corporate dispute, a class action or a complex commercial litigation, domestic or cross border, before State courts of Arbitral tribunals, Francesca is at the forefront of Italian litigators, with the ability to "translate the obscure Italian proceedings into easily understandable language". Drawing on her extensive experience in product liability and mass tort litigation, Francesca assists clients in conducting internal investigations and provides coordinated defence strategies in the context of investigations by criminal or other public authorities, often with cross border relevance (for example, in investigations commenced by the US Department of Justice). She helps clients constructing robust, tailor-made, compliance and risk mitigation solutions. As technology influences all areas of law and may disrupt any industry, Francesca works with clients to help them understand their shifting risk landscape as to ensure they're maximizing the use of technology to mitigate those risks, whether in compliance programs or through the use of AI in litigation. </w:t>
                  </w:r>
                  <w:r>
                    <w:br/>
                  </w:r>
                </w:p>
                <w:p>
                  <w:pPr>
                    <w:spacing w:line="276"/>
                  </w:pPr>
                  <w:r>
                    <w:rPr>
                      <w:rFonts w:ascii="Georgia" w:hAnsi="Georgia" w:cs="Georgia"/>
                      <w:sz w:val="24"/>
                      <w:szCs w:val="24"/>
                    </w:rPr>
                    <w:t xml:space="preserve">She is ranked as Leading Individual in </w:t>
                  </w:r>
                  <w:r>
                    <w:rPr>
                      <w:rFonts w:ascii="Georgia" w:hAnsi="Georgia" w:cs="Georgia"/>
                      <w:sz w:val="24"/>
                      <w:szCs w:val="24"/>
                      <w:i/>
                    </w:rPr>
                    <w:t>Chambers, Legal 500</w:t>
                  </w:r>
                  <w:r>
                    <w:rPr>
                      <w:rFonts w:ascii="Georgia" w:hAnsi="Georgia" w:cs="Georgia"/>
                      <w:sz w:val="24"/>
                      <w:szCs w:val="24"/>
                    </w:rPr>
                    <w:t xml:space="preserve">, and </w:t>
                  </w:r>
                  <w:r>
                    <w:rPr>
                      <w:rFonts w:ascii="Georgia" w:hAnsi="Georgia" w:cs="Georgia"/>
                      <w:sz w:val="24"/>
                      <w:szCs w:val="24"/>
                      <w:i/>
                    </w:rPr>
                    <w:t>Who'sWho Legal</w:t>
                  </w:r>
                  <w:r>
                    <w:rPr>
                      <w:rFonts w:ascii="Georgia" w:hAnsi="Georgia" w:cs="Georgia"/>
                      <w:sz w:val="24"/>
                      <w:szCs w:val="24"/>
                    </w:rPr>
                    <w:t xml:space="preserve"> for Dispute Resolution, Life sciences and Product Liability. She won the 2019 TopLegal Award as best in Litigation, the 2015 Euromoney LGM European Woman in Business Law Award as best in Product Liability and the 2014 ILO Client Choice Award for Product Liability. She is listed as Life Science Star by LGM Life Sciences.</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Product litigation and compliance assistance for major U.S. and European life sciences companies, including advice on criminal investigations and proceedings.</w:t>
                  </w:r>
                  <w:r>
                    <w:rPr>
                      <w:lang w:val="en-US"/>
                      <w:u w:val="none"/>
                    </w:rPr>
                    <w:br/>
                  </w:r>
                  <w:r>
                    <w:rPr>
                      <w:lang w:val="en-US"/>
                      <w:u w:val="none"/>
                    </w:rPr>
                    <w:br/>
                  </w:r>
                  <w:r>
                    <w:rPr>
                      <w:lang w:val="en-US"/>
                      <w:rFonts w:ascii="Georgia" w:hAnsi="Georgia" w:cs="Georgia"/>
                      <w:u w:val="none"/>
                      <w:sz w:val="24"/>
                      <w:szCs w:val="24"/>
                      <w:color w:val="000000"/>
                    </w:rPr>
                    <w:t>Defending companies in a range of industries in individual and multi-party product liability claims.</w:t>
                  </w:r>
                  <w:r>
                    <w:rPr>
                      <w:lang w:val="en-US"/>
                      <w:u w:val="none"/>
                    </w:rPr>
                    <w:br/>
                  </w:r>
                  <w:r>
                    <w:rPr>
                      <w:lang w:val="en-US"/>
                      <w:u w:val="none"/>
                    </w:rPr>
                    <w:br/>
                  </w:r>
                  <w:r>
                    <w:rPr>
                      <w:lang w:val="en-US"/>
                      <w:rFonts w:ascii="Georgia" w:hAnsi="Georgia" w:cs="Georgia"/>
                      <w:u w:val="none"/>
                      <w:sz w:val="24"/>
                      <w:szCs w:val="24"/>
                      <w:color w:val="000000"/>
                    </w:rPr>
                    <w:t>Successfully assisting a leading tobacco manufacturer in the first product-related class action filed in Italy.</w:t>
                  </w:r>
                  <w:r>
                    <w:rPr>
                      <w:lang w:val="en-US"/>
                      <w:u w:val="none"/>
                    </w:rPr>
                    <w:br/>
                  </w:r>
                  <w:r>
                    <w:rPr>
                      <w:lang w:val="en-US"/>
                      <w:u w:val="none"/>
                    </w:rPr>
                    <w:br/>
                  </w:r>
                  <w:r>
                    <w:rPr>
                      <w:lang w:val="en-US"/>
                      <w:rFonts w:ascii="Georgia" w:hAnsi="Georgia" w:cs="Georgia"/>
                      <w:u w:val="none"/>
                      <w:sz w:val="24"/>
                      <w:szCs w:val="24"/>
                      <w:color w:val="000000"/>
                    </w:rPr>
                    <w:t>Defending a University in a landmark litigation over ownership of an estate in Italy, bequeathed to our client.</w:t>
                  </w:r>
                  <w:r>
                    <w:rPr>
                      <w:lang w:val="en-US"/>
                      <w:u w:val="none"/>
                    </w:rPr>
                    <w:br/>
                  </w:r>
                  <w:r>
                    <w:rPr>
                      <w:lang w:val="en-US"/>
                      <w:u w:val="none"/>
                    </w:rPr>
                    <w:br/>
                  </w:r>
                  <w:r>
                    <w:rPr>
                      <w:lang w:val="en-US"/>
                      <w:rFonts w:ascii="Georgia" w:hAnsi="Georgia" w:cs="Georgia"/>
                      <w:u w:val="none"/>
                      <w:sz w:val="24"/>
                      <w:szCs w:val="24"/>
                      <w:color w:val="000000"/>
                    </w:rPr>
                    <w:t>Assisting a American multinational technology company with internal investigations and defence in pending criminal investigations for alleged tax crimes and corruption.</w:t>
                  </w:r>
                  <w:r>
                    <w:rPr>
                      <w:lang w:val="en-US"/>
                      <w:u w:val="none"/>
                    </w:rPr>
                    <w:br/>
                  </w:r>
                  <w:r>
                    <w:rPr>
                      <w:lang w:val="en-US"/>
                      <w:u w:val="none"/>
                    </w:rPr>
                    <w:br/>
                  </w:r>
                  <w:r>
                    <w:rPr>
                      <w:lang w:val="en-US"/>
                      <w:rFonts w:ascii="Georgia" w:hAnsi="Georgia" w:cs="Georgia"/>
                      <w:u w:val="none"/>
                      <w:sz w:val="24"/>
                      <w:szCs w:val="24"/>
                      <w:color w:val="000000"/>
                    </w:rPr>
                    <w:t>Defending a Fortune 500 multinational in product compliance criminal investigations and in the parallel proceedings before the Italian Regulatory Safety Authority.</w:t>
                  </w:r>
                  <w:r>
                    <w:rPr>
                      <w:lang w:val="en-US"/>
                      <w:u w:val="none"/>
                    </w:rPr>
                    <w:br/>
                  </w:r>
                  <w:r>
                    <w:rPr>
                      <w:lang w:val="en-US"/>
                      <w:u w:val="none"/>
                    </w:rPr>
                    <w:br/>
                  </w:r>
                  <w:r>
                    <w:rPr>
                      <w:lang w:val="en-US"/>
                      <w:rFonts w:ascii="Georgia" w:hAnsi="Georgia" w:cs="Georgia"/>
                      <w:u w:val="none"/>
                      <w:sz w:val="24"/>
                      <w:szCs w:val="24"/>
                      <w:color w:val="000000"/>
                    </w:rPr>
                    <w:t>Assisting clients in different industries (automotive; chemical; consumer, life sciences, luxury) in contractual litigations and in supply chain disputes.</w:t>
                  </w:r>
                  <w:r>
                    <w:rPr>
                      <w:lang w:val="en-US"/>
                      <w:u w:val="none"/>
                    </w:rPr>
                    <w:br/>
                  </w:r>
                  <w:r>
                    <w:rPr>
                      <w:lang w:val="en-US"/>
                      <w:u w:val="none"/>
                    </w:rPr>
                    <w:br/>
                  </w:r>
                  <w:r>
                    <w:rPr>
                      <w:lang w:val="en-US"/>
                      <w:rFonts w:ascii="Georgia" w:hAnsi="Georgia" w:cs="Georgia"/>
                      <w:u w:val="none"/>
                      <w:sz w:val="24"/>
                      <w:szCs w:val="24"/>
                      <w:color w:val="000000"/>
                    </w:rPr>
                    <w:t>Assisting a beverage corporation in a complex commercial dispute in Italy and abuse of dominance, breach of contract and millionaire debt recovery.</w:t>
                  </w:r>
                  <w:r>
                    <w:rPr>
                      <w:lang w:val="en-US"/>
                      <w:u w:val="none"/>
                    </w:rPr>
                    <w:br/>
                  </w:r>
                  <w:r>
                    <w:rPr>
                      <w:lang w:val="en-US"/>
                      <w:u w:val="none"/>
                    </w:rPr>
                    <w:br/>
                  </w:r>
                  <w:r>
                    <w:rPr>
                      <w:lang w:val="en-US"/>
                      <w:rFonts w:ascii="Georgia" w:hAnsi="Georgia" w:cs="Georgia"/>
                      <w:u w:val="none"/>
                      <w:sz w:val="24"/>
                      <w:szCs w:val="24"/>
                      <w:color w:val="000000"/>
                    </w:rPr>
                    <w:t>Assisting an international manufacturing company in two follow on actions brought before the Courts of Bologna and Genoa by more than 70 companies claiming damages.</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Dispute Resolution, Italy, Hall of Fame, </w:t>
                  </w:r>
                  <w:r>
                    <w:rPr>
                      <w:lang w:val="en-US"/>
                      <w:rFonts w:ascii="Georgia" w:hAnsi="Georgia" w:cs="Georgia"/>
                      <w:i/>
                      <w:u w:val="none"/>
                      <w:sz w:val="24"/>
                      <w:szCs w:val="24"/>
                      <w:color w:val="000000"/>
                    </w:rPr>
                    <w:t>Legal500 EMEA</w:t>
                  </w:r>
                  <w:r>
                    <w:rPr>
                      <w:rFonts w:ascii="Georgia" w:hAnsi="Georgia" w:cs="Georgia"/>
                      <w:sz w:val="24"/>
                      <w:szCs w:val="24"/>
                    </w:rPr>
                    <w:t>, 2020-2025</w:t>
                  </w:r>
                </w:p>
              </w:tc>
            </w:tr>
            <w:tr>
              <w:tc>
                <w:tcPr>
                  <w:tcW w:w="5846.4" w:type="dxa"/>
                </w:tcPr>
                <w:p>
                  <w:pPr/>
                </w:p>
                <w:p>
                  <w:pPr>
                    <w:numPr>
                      <w:ilvl w:val="0"/>
                      <w:numId w:val="5"/>
                    </w:numPr>
                    <w:spacing w:after="0"/>
                  </w:pPr>
                  <w:r>
                    <w:rPr>
                      <w:rFonts w:ascii="Georgia" w:hAnsi="Georgia" w:cs="Georgia"/>
                      <w:sz w:val="24"/>
                      <w:szCs w:val="24"/>
                    </w:rPr>
                    <w:t xml:space="preserve">Dispute Resolution, Italy, </w:t>
                  </w:r>
                  <w:r>
                    <w:rPr>
                      <w:lang w:val="en-US"/>
                      <w:rFonts w:ascii="Georgia" w:hAnsi="Georgia" w:cs="Georgia"/>
                      <w:i/>
                      <w:u w:val="none"/>
                      <w:sz w:val="24"/>
                      <w:szCs w:val="24"/>
                      <w:color w:val="000000"/>
                    </w:rPr>
                    <w:t>Chambers Global</w:t>
                  </w:r>
                  <w:r>
                    <w:rPr>
                      <w:rFonts w:ascii="Georgia" w:hAnsi="Georgia" w:cs="Georgia"/>
                      <w:sz w:val="24"/>
                      <w:szCs w:val="24"/>
                    </w:rPr>
                    <w:t>, 2018-2025</w:t>
                  </w:r>
                </w:p>
              </w:tc>
            </w:tr>
            <w:tr>
              <w:tc>
                <w:tcPr>
                  <w:tcW w:w="5846.4" w:type="dxa"/>
                </w:tcPr>
                <w:p>
                  <w:pPr/>
                </w:p>
                <w:p>
                  <w:pPr>
                    <w:numPr>
                      <w:ilvl w:val="0"/>
                      <w:numId w:val="6"/>
                    </w:numPr>
                    <w:spacing w:after="0"/>
                  </w:pPr>
                  <w:r>
                    <w:rPr>
                      <w:rFonts w:ascii="Georgia" w:hAnsi="Georgia" w:cs="Georgia"/>
                      <w:sz w:val="24"/>
                      <w:szCs w:val="24"/>
                    </w:rPr>
                    <w:t xml:space="preserve">Compliance, Italy, Hall of Fame, </w:t>
                  </w:r>
                  <w:r>
                    <w:rPr>
                      <w:lang w:val="en-US"/>
                      <w:rFonts w:ascii="Georgia" w:hAnsi="Georgia" w:cs="Georgia"/>
                      <w:i/>
                      <w:u w:val="none"/>
                      <w:sz w:val="24"/>
                      <w:szCs w:val="24"/>
                      <w:color w:val="000000"/>
                    </w:rPr>
                    <w:t>Legal500 EMEA</w:t>
                  </w:r>
                  <w:r>
                    <w:rPr>
                      <w:rFonts w:ascii="Georgia" w:hAnsi="Georgia" w:cs="Georgia"/>
                      <w:sz w:val="24"/>
                      <w:szCs w:val="24"/>
                    </w:rPr>
                    <w:t>, 2025</w:t>
                  </w:r>
                </w:p>
              </w:tc>
            </w:tr>
            <w:tr>
              <w:tc>
                <w:tcPr>
                  <w:tcW w:w="5846.4" w:type="dxa"/>
                </w:tcPr>
                <w:p>
                  <w:pPr/>
                </w:p>
                <w:p>
                  <w:pPr>
                    <w:numPr>
                      <w:ilvl w:val="0"/>
                      <w:numId w:val="7"/>
                    </w:numPr>
                    <w:spacing w:after="0"/>
                  </w:pPr>
                  <w:r>
                    <w:rPr>
                      <w:rFonts w:ascii="Georgia" w:hAnsi="Georgia" w:cs="Georgia"/>
                      <w:sz w:val="24"/>
                      <w:szCs w:val="24"/>
                    </w:rPr>
                    <w:t xml:space="preserve">Compliance, Italy, Leading Individual, </w:t>
                  </w:r>
                  <w:r>
                    <w:rPr>
                      <w:lang w:val="en-US"/>
                      <w:rFonts w:ascii="Georgia" w:hAnsi="Georgia" w:cs="Georgia"/>
                      <w:i/>
                      <w:u w:val="none"/>
                      <w:sz w:val="24"/>
                      <w:szCs w:val="24"/>
                      <w:color w:val="000000"/>
                    </w:rPr>
                    <w:t>Legal500 EMEA</w:t>
                  </w:r>
                  <w:r>
                    <w:rPr>
                      <w:rFonts w:ascii="Georgia" w:hAnsi="Georgia" w:cs="Georgia"/>
                      <w:sz w:val="24"/>
                      <w:szCs w:val="24"/>
                    </w:rPr>
                    <w:t>, 2023-2024</w:t>
                  </w:r>
                </w:p>
              </w:tc>
            </w:tr>
            <w:tr>
              <w:tc>
                <w:tcPr>
                  <w:tcW w:w="5846.4" w:type="dxa"/>
                </w:tcPr>
                <w:p>
                  <w:pPr/>
                </w:p>
                <w:p>
                  <w:pPr>
                    <w:numPr>
                      <w:ilvl w:val="0"/>
                      <w:numId w:val="8"/>
                    </w:numPr>
                    <w:spacing w:after="0"/>
                  </w:pPr>
                  <w:r>
                    <w:rPr>
                      <w:rFonts w:ascii="Georgia" w:hAnsi="Georgia" w:cs="Georgia"/>
                      <w:sz w:val="24"/>
                      <w:szCs w:val="24"/>
                    </w:rPr>
                    <w:t xml:space="preserve">Healthcare and Life Sciences, Italy, </w:t>
                  </w:r>
                  <w:r>
                    <w:rPr>
                      <w:lang w:val="en-US"/>
                      <w:rFonts w:ascii="Georgia" w:hAnsi="Georgia" w:cs="Georgia"/>
                      <w:i/>
                      <w:u w:val="none"/>
                      <w:sz w:val="24"/>
                      <w:szCs w:val="24"/>
                      <w:color w:val="000000"/>
                    </w:rPr>
                    <w:t>Legal500 EMEA</w:t>
                  </w:r>
                  <w:r>
                    <w:rPr>
                      <w:rFonts w:ascii="Georgia" w:hAnsi="Georgia" w:cs="Georgia"/>
                      <w:sz w:val="24"/>
                      <w:szCs w:val="24"/>
                    </w:rPr>
                    <w:t>, 2018-2022</w:t>
                  </w:r>
                </w:p>
              </w:tc>
            </w:tr>
            <w:tr>
              <w:tc>
                <w:tcPr>
                  <w:tcW w:w="5846.4" w:type="dxa"/>
                </w:tcPr>
                <w:p>
                  <w:pPr/>
                </w:p>
                <w:p>
                  <w:pPr>
                    <w:numPr>
                      <w:ilvl w:val="0"/>
                      <w:numId w:val="9"/>
                    </w:numPr>
                    <w:spacing w:after="0"/>
                  </w:pPr>
                  <w:r>
                    <w:rPr>
                      <w:rFonts w:ascii="Georgia" w:hAnsi="Georgia" w:cs="Georgia"/>
                      <w:sz w:val="24"/>
                      <w:szCs w:val="24"/>
                    </w:rPr>
                    <w:t xml:space="preserve">Life sciences, Italy, </w:t>
                  </w:r>
                  <w:r>
                    <w:rPr>
                      <w:lang w:val="en-US"/>
                      <w:rFonts w:ascii="Georgia" w:hAnsi="Georgia" w:cs="Georgia"/>
                      <w:i/>
                      <w:u w:val="none"/>
                      <w:sz w:val="24"/>
                      <w:szCs w:val="24"/>
                      <w:color w:val="000000"/>
                    </w:rPr>
                    <w:t>Chambers Europe</w:t>
                  </w:r>
                  <w:r>
                    <w:rPr>
                      <w:rFonts w:ascii="Georgia" w:hAnsi="Georgia" w:cs="Georgia"/>
                      <w:sz w:val="24"/>
                      <w:szCs w:val="24"/>
                    </w:rPr>
                    <w:t>, 2012-2022</w:t>
                  </w:r>
                </w:p>
              </w:tc>
            </w:tr>
            <w:tr>
              <w:tc>
                <w:tcPr>
                  <w:tcW w:w="5846.4" w:type="dxa"/>
                </w:tcPr>
                <w:p>
                  <w:pPr/>
                </w:p>
                <w:p>
                  <w:pPr>
                    <w:numPr>
                      <w:ilvl w:val="0"/>
                      <w:numId w:val="10"/>
                    </w:numPr>
                    <w:spacing w:after="0"/>
                  </w:pPr>
                  <w:r>
                    <w:rPr>
                      <w:rFonts w:ascii="Georgia" w:hAnsi="Georgia" w:cs="Georgia"/>
                      <w:sz w:val="24"/>
                      <w:szCs w:val="24"/>
                    </w:rPr>
                    <w:t xml:space="preserve">Compliance, Italy, Recommended, </w:t>
                  </w:r>
                  <w:r>
                    <w:rPr>
                      <w:lang w:val="en-US"/>
                      <w:rFonts w:ascii="Georgia" w:hAnsi="Georgia" w:cs="Georgia"/>
                      <w:i/>
                      <w:u w:val="none"/>
                      <w:sz w:val="24"/>
                      <w:szCs w:val="24"/>
                      <w:color w:val="000000"/>
                    </w:rPr>
                    <w:t>Legal 500 EMEA</w:t>
                  </w:r>
                  <w:r>
                    <w:rPr>
                      <w:rFonts w:ascii="Georgia" w:hAnsi="Georgia" w:cs="Georgia"/>
                      <w:sz w:val="24"/>
                      <w:szCs w:val="24"/>
                    </w:rPr>
                    <w:t>, 2018-2022</w:t>
                  </w:r>
                </w:p>
              </w:tc>
            </w:tr>
            <w:tr>
              <w:tc>
                <w:tcPr>
                  <w:tcW w:w="5846.4" w:type="dxa"/>
                </w:tcPr>
                <w:p>
                  <w:pPr/>
                </w:p>
                <w:p>
                  <w:pPr>
                    <w:numPr>
                      <w:ilvl w:val="0"/>
                      <w:numId w:val="11"/>
                    </w:numPr>
                    <w:spacing w:after="0"/>
                  </w:pPr>
                  <w:r>
                    <w:rPr>
                      <w:rFonts w:ascii="Georgia" w:hAnsi="Georgia" w:cs="Georgia"/>
                      <w:sz w:val="24"/>
                      <w:szCs w:val="24"/>
                    </w:rPr>
                    <w:t xml:space="preserve">Acritas Star, </w:t>
                  </w:r>
                  <w:r>
                    <w:rPr>
                      <w:lang w:val="en-US"/>
                      <w:rFonts w:ascii="Georgia" w:hAnsi="Georgia" w:cs="Georgia"/>
                      <w:i/>
                      <w:u w:val="none"/>
                      <w:sz w:val="24"/>
                      <w:szCs w:val="24"/>
                      <w:color w:val="000000"/>
                    </w:rPr>
                    <w:t>Acritas Stars Independently Rated Lawyers</w:t>
                  </w:r>
                  <w:r>
                    <w:rPr>
                      <w:rFonts w:ascii="Georgia" w:hAnsi="Georgia" w:cs="Georgia"/>
                      <w:sz w:val="24"/>
                      <w:szCs w:val="24"/>
                    </w:rPr>
                    <w:t>, 2017-2020</w:t>
                  </w:r>
                </w:p>
              </w:tc>
            </w:tr>
            <w:tr>
              <w:tc>
                <w:tcPr>
                  <w:tcW w:w="5846.4" w:type="dxa"/>
                </w:tcPr>
                <w:p>
                  <w:pPr/>
                </w:p>
                <w:p>
                  <w:pPr>
                    <w:numPr>
                      <w:ilvl w:val="0"/>
                      <w:numId w:val="12"/>
                    </w:numPr>
                    <w:spacing w:after="0"/>
                  </w:pPr>
                  <w:r>
                    <w:rPr>
                      <w:rFonts w:ascii="Georgia" w:hAnsi="Georgia" w:cs="Georgia"/>
                      <w:sz w:val="24"/>
                      <w:szCs w:val="24"/>
                    </w:rPr>
                    <w:t xml:space="preserve">Dispute Resolution, Italy, Leading Individual, </w:t>
                  </w:r>
                  <w:r>
                    <w:rPr>
                      <w:lang w:val="en-US"/>
                      <w:rFonts w:ascii="Georgia" w:hAnsi="Georgia" w:cs="Georgia"/>
                      <w:i/>
                      <w:u w:val="none"/>
                      <w:sz w:val="24"/>
                      <w:szCs w:val="24"/>
                      <w:color w:val="000000"/>
                    </w:rPr>
                    <w:t>Legal500 EMEA</w:t>
                  </w:r>
                  <w:r>
                    <w:rPr>
                      <w:rFonts w:ascii="Georgia" w:hAnsi="Georgia" w:cs="Georgia"/>
                      <w:sz w:val="24"/>
                      <w:szCs w:val="24"/>
                    </w:rPr>
                    <w:t>, 2014-2019</w:t>
                  </w:r>
                </w:p>
              </w:tc>
            </w:tr>
            <w:tr>
              <w:tc>
                <w:tcPr>
                  <w:tcW w:w="5846.4" w:type="dxa"/>
                </w:tcPr>
                <w:p>
                  <w:pPr/>
                </w:p>
                <w:p>
                  <w:pPr>
                    <w:numPr>
                      <w:ilvl w:val="0"/>
                      <w:numId w:val="13"/>
                    </w:numPr>
                    <w:spacing w:after="0"/>
                  </w:pPr>
                  <w:r>
                    <w:rPr>
                      <w:rFonts w:ascii="Georgia" w:hAnsi="Georgia" w:cs="Georgia"/>
                      <w:sz w:val="24"/>
                      <w:szCs w:val="24"/>
                    </w:rPr>
                    <w:t xml:space="preserve">Product Liability, </w:t>
                  </w:r>
                  <w:r>
                    <w:rPr>
                      <w:lang w:val="en-US"/>
                      <w:rFonts w:ascii="Georgia" w:hAnsi="Georgia" w:cs="Georgia"/>
                      <w:i/>
                      <w:u w:val="none"/>
                      <w:sz w:val="24"/>
                      <w:szCs w:val="24"/>
                      <w:color w:val="000000"/>
                    </w:rPr>
                    <w:t>Woman in Business Law Award</w:t>
                  </w:r>
                  <w:r>
                    <w:rPr>
                      <w:rFonts w:ascii="Georgia" w:hAnsi="Georgia" w:cs="Georgia"/>
                      <w:sz w:val="24"/>
                      <w:szCs w:val="24"/>
                    </w:rPr>
                    <w:t>, 2015</w:t>
                  </w:r>
                </w:p>
              </w:tc>
            </w:tr>
            <w:tr>
              <w:tc>
                <w:tcPr>
                  <w:tcW w:w="5846.4" w:type="dxa"/>
                </w:tcPr>
                <w:p>
                  <w:pPr/>
                </w:p>
                <w:p>
                  <w:pPr>
                    <w:numPr>
                      <w:ilvl w:val="0"/>
                      <w:numId w:val="14"/>
                    </w:numPr>
                    <w:spacing w:after="0"/>
                  </w:pPr>
                  <w:r>
                    <w:rPr>
                      <w:rFonts w:ascii="Georgia" w:hAnsi="Georgia" w:cs="Georgia"/>
                      <w:sz w:val="24"/>
                      <w:szCs w:val="24"/>
                    </w:rPr>
                    <w:t xml:space="preserve">Best lawyer for Product Liability in Italy, </w:t>
                  </w:r>
                  <w:r>
                    <w:rPr>
                      <w:lang w:val="en-US"/>
                      <w:rFonts w:ascii="Georgia" w:hAnsi="Georgia" w:cs="Georgia"/>
                      <w:i/>
                      <w:u w:val="none"/>
                      <w:sz w:val="24"/>
                      <w:szCs w:val="24"/>
                      <w:color w:val="000000"/>
                    </w:rPr>
                    <w:t>ILO Client Choice Award</w:t>
                  </w:r>
                  <w:r>
                    <w:rPr>
                      <w:rFonts w:ascii="Georgia" w:hAnsi="Georgia" w:cs="Georgia"/>
                      <w:sz w:val="24"/>
                      <w:szCs w:val="24"/>
                    </w:rPr>
                    <w:t>, 2014</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Global Bribery, Investigations and Enforcement Outlook 2026</w:t>
                  </w:r>
                  <w:r>
                    <w:rPr>
                      <w:rFonts w:ascii="Georgia" w:hAnsi="Georgia" w:cs="Georgia"/>
                      <w:sz w:val="20"/>
                      <w:szCs w:val="20"/>
                    </w:rPr>
                    <w:br/>
                  </w:r>
                  <w:r>
                    <w:rPr>
                      <w:rFonts w:ascii="Georgia" w:hAnsi="Georgia" w:cs="Georgia"/>
                      <w:sz w:val="20"/>
                      <w:szCs w:val="20"/>
                    </w:rPr>
                    <w:t>13 January 2026</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EU Products Law – 2025/2026 Edition</w:t>
                  </w:r>
                  <w:r>
                    <w:rPr>
                      <w:rFonts w:ascii="Georgia" w:hAnsi="Georgia" w:cs="Georgia"/>
                      <w:sz w:val="20"/>
                      <w:szCs w:val="20"/>
                    </w:rPr>
                    <w:br/>
                  </w:r>
                  <w:r>
                    <w:rPr>
                      <w:rFonts w:ascii="Georgia" w:hAnsi="Georgia" w:cs="Georgia"/>
                      <w:sz w:val="20"/>
                      <w:szCs w:val="20"/>
                    </w:rPr>
                    <w:t>23 May 2025</w:t>
                  </w:r>
                </w:p>
              </w:tc>
            </w:tr>
            <w:tr>
              <w:tc>
                <w:tcPr>
                  <w:tcW w:w="5846.4" w:type="dxa"/>
                </w:tcPr>
                <w:p>
                  <w:pPr>
                    <w:spacing w:after="220"/>
                  </w:pPr>
                  <w:r>
                    <w:rPr>
                      <w:lang w:val="en-US"/>
                      <w:rFonts w:ascii="Georgia" w:hAnsi="Georgia" w:cs="Georgia"/>
                      <w:u w:val="none"/>
                      <w:sz w:val="24"/>
                      <w:szCs w:val="24"/>
                      <w:color w:val="58A618"/>
                    </w:rPr>
                    <w:t>Hogan Lovells Events</w:t>
                  </w:r>
                  <w:r>
                    <w:rPr>
                      <w:rFonts w:ascii="Georgia" w:hAnsi="Georgia" w:cs="Georgia"/>
                      <w:sz w:val="24"/>
                      <w:szCs w:val="24"/>
                    </w:rPr>
                    <w:br/>
                  </w:r>
                  <w:r>
                    <w:rPr>
                      <w:rFonts w:ascii="Georgia" w:hAnsi="Georgia" w:cs="Georgia"/>
                      <w:sz w:val="24"/>
                      <w:szCs w:val="24"/>
                    </w:rPr>
                    <w:t>Hogan Lovells and Marsh webinar series</w:t>
                  </w:r>
                  <w:r>
                    <w:rPr>
                      <w:rFonts w:ascii="Georgia" w:hAnsi="Georgia" w:cs="Georgia"/>
                      <w:sz w:val="20"/>
                      <w:szCs w:val="20"/>
                    </w:rPr>
                    <w:br/>
                  </w:r>
                  <w:r>
                    <w:rPr>
                      <w:rFonts w:ascii="Georgia" w:hAnsi="Georgia" w:cs="Georgia"/>
                      <w:sz w:val="20"/>
                      <w:szCs w:val="20"/>
                    </w:rPr>
                    <w:t>27 November 2024 | 29 January 2025 | 19 March 2025</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The Mattei Plan: Italy Unveils Strategic Framework to Strengthen Economic Relations and Investments in Africa</w:t>
                  </w:r>
                  <w:r>
                    <w:rPr>
                      <w:rFonts w:ascii="Georgia" w:hAnsi="Georgia" w:cs="Georgia"/>
                      <w:sz w:val="20"/>
                      <w:szCs w:val="20"/>
                    </w:rPr>
                    <w:br/>
                  </w:r>
                  <w:r>
                    <w:rPr>
                      <w:rFonts w:ascii="Georgia" w:hAnsi="Georgia" w:cs="Georgia"/>
                      <w:sz w:val="20"/>
                      <w:szCs w:val="20"/>
                    </w:rPr>
                    <w:t>05 November 2024</w:t>
                  </w:r>
                </w:p>
              </w:tc>
            </w:tr>
            <w:tr>
              <w:tc>
                <w:tcPr>
                  <w:tcW w:w="5846.4" w:type="dxa"/>
                </w:tcPr>
                <w:p>
                  <w:pPr>
                    <w:spacing w:after="220"/>
                  </w:pPr>
                  <w:r>
                    <w:rPr>
                      <w:lang w:val="en-US"/>
                      <w:rFonts w:ascii="Georgia" w:hAnsi="Georgia" w:cs="Georgia"/>
                      <w:u w:val="none"/>
                      <w:sz w:val="24"/>
                      <w:szCs w:val="24"/>
                      <w:color w:val="58A618"/>
                    </w:rPr>
                    <w:t>Insights and Analysis</w:t>
                  </w:r>
                  <w:r>
                    <w:rPr>
                      <w:rFonts w:ascii="Georgia" w:hAnsi="Georgia" w:cs="Georgia"/>
                      <w:sz w:val="24"/>
                      <w:szCs w:val="24"/>
                    </w:rPr>
                    <w:br/>
                  </w:r>
                  <w:r>
                    <w:rPr>
                      <w:rFonts w:ascii="Georgia" w:hAnsi="Georgia" w:cs="Georgia"/>
                      <w:sz w:val="24"/>
                      <w:szCs w:val="24"/>
                    </w:rPr>
                    <w:t>Aerospace &amp; Defense Insights | Charting new horizons in space economy: Italy’s progress towards comprehensive Space Law</w:t>
                  </w:r>
                  <w:r>
                    <w:rPr>
                      <w:rFonts w:ascii="Georgia" w:hAnsi="Georgia" w:cs="Georgia"/>
                      <w:sz w:val="20"/>
                      <w:szCs w:val="20"/>
                    </w:rPr>
                    <w:br/>
                  </w:r>
                  <w:r>
                    <w:rPr>
                      <w:rFonts w:ascii="Georgia" w:hAnsi="Georgia" w:cs="Georgia"/>
                      <w:sz w:val="20"/>
                      <w:szCs w:val="20"/>
                    </w:rPr>
                    <w:t>18 July 2024</w:t>
                  </w:r>
                </w:p>
              </w:tc>
            </w:tr>
            <w:tr>
              <w:tc>
                <w:tcPr>
                  <w:tcW w:w="5846.4" w:type="dxa"/>
                </w:tcPr>
                <w:p>
                  <w:pPr>
                    <w:spacing w:after="220"/>
                  </w:pPr>
                  <w:r>
                    <w:rPr>
                      <w:lang w:val="en-US"/>
                      <w:rFonts w:ascii="Georgia" w:hAnsi="Georgia" w:cs="Georgia"/>
                      <w:u w:val="none"/>
                      <w:sz w:val="24"/>
                      <w:szCs w:val="24"/>
                      <w:color w:val="58A618"/>
                    </w:rPr>
                    <w:t>Insights and Analysis</w:t>
                  </w:r>
                  <w:r>
                    <w:rPr>
                      <w:rFonts w:ascii="Georgia" w:hAnsi="Georgia" w:cs="Georgia"/>
                      <w:sz w:val="24"/>
                      <w:szCs w:val="24"/>
                    </w:rPr>
                    <w:br/>
                  </w:r>
                  <w:r>
                    <w:rPr>
                      <w:rFonts w:ascii="Georgia" w:hAnsi="Georgia" w:cs="Georgia"/>
                      <w:sz w:val="24"/>
                      <w:szCs w:val="24"/>
                    </w:rPr>
                    <w:t>EU Products Law – Third edition</w:t>
                  </w:r>
                  <w:r>
                    <w:rPr>
                      <w:rFonts w:ascii="Georgia" w:hAnsi="Georgia" w:cs="Georgia"/>
                      <w:sz w:val="20"/>
                      <w:szCs w:val="20"/>
                    </w:rPr>
                    <w:br/>
                  </w:r>
                  <w:r>
                    <w:rPr>
                      <w:rFonts w:ascii="Georgia" w:hAnsi="Georgia" w:cs="Georgia"/>
                      <w:sz w:val="20"/>
                      <w:szCs w:val="20"/>
                    </w:rPr>
                    <w:t>May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f53d06e64a407c"/>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+39 02 720 2521</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+39 02 72025252</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d9e05f8244854f77" w:history="1">
                    <w:r>
                      <w:rPr>
                        <w:rStyle w:val="Hyperlink"/>
                        <w:rFonts w:ascii="Georgia" w:hAnsi="Georgia" w:cs="Georgia"/>
                        <w:sz w:val="22"/>
                        <w:szCs w:val="22"/>
                        <w:u w:val="none"/>
                      </w:rPr>
                      <w:t>francesca.rolla@hoganlovells.com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Italian</w:t>
                  </w:r>
                </w:p>
              </w:tc>
            </w:tr>
            <w:tr>
              <w:tc>
                <w:tcPr>
                  <w:tcW w:w="3686.4" w:type="dxa"/>
                </w:tcPr>
                <w:p>
                  <w:pPr>
                    <w:spacing w:after="220"/>
                  </w:pPr>
                  <w:r>
                    <w:rPr>
                      <w:lang w:val="en-US"/>
                      <w:rFonts w:ascii="Georgia" w:hAnsi="Georgia" w:cs="Georgia"/>
                      <w:u w:val="none"/>
                      <w:sz w:val="24"/>
                      <w:szCs w:val="24"/>
                      <w:color w:val="000000"/>
                    </w:rPr>
                    <w:t>French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60eb1195b5b7436a" w:history="1">
                    <w:r>
                      <w:rPr>
                        <w:rStyle w:val="Hyperlink"/>
                        <w:rFonts w:ascii="Georgia" w:hAnsi="Georgia" w:cs="Georgia"/>
                        <w:sz w:val="24"/>
                        <w:szCs w:val="24"/>
                      </w:rPr>
                      <w:t>Corporate and Securities Litigation</w:t>
                    </w:r>
                  </w:hyperlink>
                </w:p>
              </w:tc>
            </w:tr>
            <w:tr>
              <w:tc>
                <w:tcPr>
                  <w:tcW w:w="3686.4" w:type="dxa"/>
                </w:tcPr>
                <w:p>
                  <w:pPr>
                    <w:spacing w:after="220"/>
                  </w:pPr>
                  <w:hyperlink r:id="R01c456fccd364694" w:history="1">
                    <w:r>
                      <w:rPr>
                        <w:rStyle w:val="Hyperlink"/>
                        <w:rFonts w:ascii="Georgia" w:hAnsi="Georgia" w:cs="Georgia"/>
                        <w:sz w:val="24"/>
                        <w:szCs w:val="24"/>
                      </w:rPr>
                      <w:t>Investigations, White Collar, and Fraud</w:t>
                    </w:r>
                  </w:hyperlink>
                </w:p>
              </w:tc>
            </w:tr>
            <w:tr>
              <w:tc>
                <w:tcPr>
                  <w:tcW w:w="3686.4" w:type="dxa"/>
                </w:tcPr>
                <w:p>
                  <w:pPr>
                    <w:spacing w:after="220"/>
                  </w:pPr>
                  <w:hyperlink r:id="Ra813e557f23a457b" w:history="1">
                    <w:r>
                      <w:rPr>
                        <w:rStyle w:val="Hyperlink"/>
                        <w:rFonts w:ascii="Georgia" w:hAnsi="Georgia" w:cs="Georgia"/>
                        <w:sz w:val="24"/>
                        <w:szCs w:val="24"/>
                      </w:rPr>
                      <w:t>Litigation Services</w:t>
                    </w:r>
                  </w:hyperlink>
                </w:p>
              </w:tc>
            </w:tr>
            <w:tr>
              <w:tc>
                <w:tcPr>
                  <w:tcW w:w="3686.4" w:type="dxa"/>
                </w:tcPr>
                <w:p>
                  <w:pPr>
                    <w:spacing w:after="220"/>
                  </w:pPr>
                  <w:hyperlink r:id="Rc393d16d93e64dc1" w:history="1">
                    <w:r>
                      <w:rPr>
                        <w:rStyle w:val="Hyperlink"/>
                        <w:rFonts w:ascii="Georgia" w:hAnsi="Georgia" w:cs="Georgia"/>
                        <w:sz w:val="24"/>
                        <w:szCs w:val="24"/>
                      </w:rPr>
                      <w:t>Commercial Litigation</w:t>
                    </w:r>
                  </w:hyperlink>
                </w:p>
              </w:tc>
            </w:tr>
            <w:tr>
              <w:tc>
                <w:tcPr>
                  <w:tcW w:w="3686.4" w:type="dxa"/>
                </w:tcPr>
                <w:p>
                  <w:pPr>
                    <w:spacing w:after="220"/>
                  </w:pPr>
                  <w:hyperlink r:id="Ref74bc122e674135" w:history="1">
                    <w:r>
                      <w:rPr>
                        <w:rStyle w:val="Hyperlink"/>
                        <w:rFonts w:ascii="Georgia" w:hAnsi="Georgia" w:cs="Georgia"/>
                        <w:sz w:val="24"/>
                        <w:szCs w:val="24"/>
                      </w:rPr>
                      <w:t>Product Litigation</w:t>
                    </w:r>
                  </w:hyperlink>
                </w:p>
              </w:tc>
            </w:tr>
            <w:tr>
              <w:tc>
                <w:tcPr>
                  <w:tcW w:w="3686.4" w:type="dxa"/>
                </w:tcPr>
                <w:p>
                  <w:pPr>
                    <w:spacing w:after="220"/>
                  </w:pPr>
                  <w:hyperlink r:id="R95e98be9d217483d" w:history="1">
                    <w:r>
                      <w:rPr>
                        <w:rStyle w:val="Hyperlink"/>
                        <w:rFonts w:ascii="Georgia" w:hAnsi="Georgia" w:cs="Georgia"/>
                        <w:sz w:val="24"/>
                        <w:szCs w:val="24"/>
                      </w:rPr>
                      <w:t>Products Law</w:t>
                    </w:r>
                  </w:hyperlink>
                </w:p>
              </w:tc>
            </w:tr>
            <w:tr>
              <w:tc>
                <w:tcPr>
                  <w:tcW w:w="3686.4" w:type="dxa"/>
                </w:tcPr>
                <w:p>
                  <w:pPr>
                    <w:spacing w:after="220"/>
                  </w:pPr>
                  <w:hyperlink r:id="Rfdb53715467a44ee" w:history="1">
                    <w:r>
                      <w:rPr>
                        <w:rStyle w:val="Hyperlink"/>
                        <w:rFonts w:ascii="Georgia" w:hAnsi="Georgia" w:cs="Georgia"/>
                        <w:sz w:val="24"/>
                        <w:szCs w:val="24"/>
                      </w:rPr>
                      <w:t>Technology Litigation</w:t>
                    </w:r>
                  </w:hyperlink>
                </w:p>
              </w:tc>
            </w:tr>
            <w:tr>
              <w:tc>
                <w:tcPr>
                  <w:tcW w:w="3686.4" w:type="dxa"/>
                </w:tcPr>
                <w:p>
                  <w:pPr>
                    <w:spacing w:after="220"/>
                  </w:pPr>
                  <w:hyperlink r:id="R5623de6baade496f" w:history="1">
                    <w:r>
                      <w:rPr>
                        <w:rStyle w:val="Hyperlink"/>
                        <w:rFonts w:ascii="Georgia" w:hAnsi="Georgia" w:cs="Georgia"/>
                        <w:sz w:val="24"/>
                        <w:szCs w:val="24"/>
                      </w:rPr>
                      <w:t>Insurance Litigation</w:t>
                    </w:r>
                  </w:hyperlink>
                </w:p>
              </w:tc>
            </w:tr>
            <w:tr>
              <w:tc>
                <w:tcPr>
                  <w:tcW w:w="3686.4" w:type="dxa"/>
                </w:tcPr>
                <w:p>
                  <w:pPr>
                    <w:spacing w:after="220"/>
                  </w:pPr>
                  <w:hyperlink r:id="R36cd5cfea25a43f1" w:history="1">
                    <w:r>
                      <w:rPr>
                        <w:rStyle w:val="Hyperlink"/>
                        <w:rFonts w:ascii="Georgia" w:hAnsi="Georgia" w:cs="Georgia"/>
                        <w:sz w:val="24"/>
                        <w:szCs w:val="24"/>
                      </w:rPr>
                      <w:t>Africa Practice</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72fae70f8c9a496d" w:history="1">
                    <w:r>
                      <w:rPr>
                        <w:rStyle w:val="Hyperlink"/>
                        <w:rFonts w:ascii="Georgia" w:hAnsi="Georgia" w:cs="Georgia"/>
                        <w:sz w:val="24"/>
                        <w:szCs w:val="24"/>
                      </w:rPr>
                      <w:t>Aerospace and Defense</w:t>
                    </w:r>
                  </w:hyperlink>
                </w:p>
              </w:tc>
            </w:tr>
            <w:tr>
              <w:tc>
                <w:tcPr>
                  <w:tcW w:w="3686.4" w:type="dxa"/>
                </w:tcPr>
                <w:p>
                  <w:pPr>
                    <w:spacing w:after="220"/>
                  </w:pPr>
                  <w:hyperlink r:id="R14ef1b853fea425d" w:history="1">
                    <w:r>
                      <w:rPr>
                        <w:rStyle w:val="Hyperlink"/>
                        <w:rFonts w:ascii="Georgia" w:hAnsi="Georgia" w:cs="Georgia"/>
                        <w:sz w:val="24"/>
                        <w:szCs w:val="24"/>
                      </w:rPr>
                      <w:t>Manufacturing and Industrials</w:t>
                    </w:r>
                  </w:hyperlink>
                </w:p>
              </w:tc>
            </w:tr>
            <w:tr>
              <w:tc>
                <w:tcPr>
                  <w:tcW w:w="3686.4" w:type="dxa"/>
                </w:tcPr>
                <w:p>
                  <w:pPr>
                    <w:spacing w:after="220"/>
                  </w:pPr>
                  <w:hyperlink r:id="R0e341d90415a4f11" w:history="1">
                    <w:r>
                      <w:rPr>
                        <w:rStyle w:val="Hyperlink"/>
                        <w:rFonts w:ascii="Georgia" w:hAnsi="Georgia" w:cs="Georgia"/>
                        <w:sz w:val="24"/>
                        <w:szCs w:val="24"/>
                      </w:rPr>
                      <w:t>Education</w:t>
                    </w:r>
                  </w:hyperlink>
                </w:p>
              </w:tc>
            </w:tr>
            <w:tr>
              <w:tc>
                <w:tcPr>
                  <w:tcW w:w="3686.4" w:type="dxa"/>
                </w:tcPr>
                <w:p>
                  <w:pPr>
                    <w:spacing w:after="220"/>
                  </w:pPr>
                  <w:hyperlink r:id="R44628eaa502c4f6a" w:history="1">
                    <w:r>
                      <w:rPr>
                        <w:rStyle w:val="Hyperlink"/>
                        <w:rFonts w:ascii="Georgia" w:hAnsi="Georgia" w:cs="Georgia"/>
                        <w:sz w:val="24"/>
                        <w:szCs w:val="24"/>
                      </w:rPr>
                      <w:t>Automotive and Mobility</w:t>
                    </w:r>
                  </w:hyperlink>
                </w:p>
              </w:tc>
            </w:tr>
            <w:tr>
              <w:tc>
                <w:tcPr>
                  <w:tcW w:w="3686.4" w:type="dxa"/>
                </w:tcPr>
                <w:p>
                  <w:pPr>
                    <w:spacing w:after="220"/>
                  </w:pPr>
                  <w:hyperlink r:id="Ree3c85f7493148b4" w:history="1">
                    <w:r>
                      <w:rPr>
                        <w:rStyle w:val="Hyperlink"/>
                        <w:rFonts w:ascii="Georgia" w:hAnsi="Georgia" w:cs="Georgia"/>
                        <w:sz w:val="24"/>
                        <w:szCs w:val="24"/>
                      </w:rPr>
                      <w:t>Consumer</w:t>
                    </w:r>
                  </w:hyperlink>
                </w:p>
              </w:tc>
            </w:tr>
            <w:tr>
              <w:tc>
                <w:tcPr>
                  <w:tcW w:w="3686.4" w:type="dxa"/>
                </w:tcPr>
                <w:p>
                  <w:pPr>
                    <w:spacing w:after="220"/>
                  </w:pPr>
                  <w:hyperlink r:id="Re5109b20211b4f6f" w:history="1">
                    <w:r>
                      <w:rPr>
                        <w:rStyle w:val="Hyperlink"/>
                        <w:rFonts w:ascii="Georgia" w:hAnsi="Georgia" w:cs="Georgia"/>
                        <w:sz w:val="24"/>
                        <w:szCs w:val="24"/>
                      </w:rPr>
                      <w:t>Energy</w:t>
                    </w:r>
                  </w:hyperlink>
                </w:p>
              </w:tc>
            </w:tr>
            <w:tr>
              <w:tc>
                <w:tcPr>
                  <w:tcW w:w="3686.4" w:type="dxa"/>
                </w:tcPr>
                <w:p>
                  <w:pPr>
                    <w:spacing w:after="220"/>
                  </w:pPr>
                  <w:hyperlink r:id="R793ce68ae21f47ba" w:history="1">
                    <w:r>
                      <w:rPr>
                        <w:rStyle w:val="Hyperlink"/>
                        <w:rFonts w:ascii="Georgia" w:hAnsi="Georgia" w:cs="Georgia"/>
                        <w:sz w:val="24"/>
                        <w:szCs w:val="24"/>
                      </w:rPr>
                      <w:t>Insurance</w:t>
                    </w:r>
                  </w:hyperlink>
                </w:p>
              </w:tc>
            </w:tr>
            <w:tr>
              <w:tc>
                <w:tcPr>
                  <w:tcW w:w="3686.4" w:type="dxa"/>
                </w:tcPr>
                <w:p>
                  <w:pPr>
                    <w:spacing w:after="220"/>
                  </w:pPr>
                  <w:hyperlink r:id="R626dee0b18a446cd" w:history="1">
                    <w:r>
                      <w:rPr>
                        <w:rStyle w:val="Hyperlink"/>
                        <w:rFonts w:ascii="Georgia" w:hAnsi="Georgia" w:cs="Georgia"/>
                        <w:sz w:val="24"/>
                        <w:szCs w:val="24"/>
                      </w:rPr>
                      <w:t>Life Sciences and Health Care</w:t>
                    </w:r>
                  </w:hyperlink>
                </w:p>
              </w:tc>
            </w:tr>
            <w:tr>
              <w:tc>
                <w:tcPr>
                  <w:tcW w:w="3686.4" w:type="dxa"/>
                </w:tcPr>
                <w:p>
                  <w:pPr>
                    <w:spacing w:after="220"/>
                  </w:pPr>
                  <w:hyperlink r:id="Rdfc25e70858d44a6" w:history="1">
                    <w:r>
                      <w:rPr>
                        <w:rStyle w:val="Hyperlink"/>
                        <w:rFonts w:ascii="Georgia" w:hAnsi="Georgia" w:cs="Georgia"/>
                        <w:sz w:val="24"/>
                        <w:szCs w:val="24"/>
                      </w:rPr>
                      <w:t>Transportation and Logistics</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5c825faad1db4427" w:history="1">
                    <w:r>
                      <w:rPr>
                        <w:rStyle w:val="Hyperlink"/>
                        <w:rFonts w:ascii="Georgia" w:hAnsi="Georgia" w:cs="Georgia"/>
                        <w:sz w:val="24"/>
                        <w:szCs w:val="24"/>
                      </w:rPr>
                      <w:t>Alternative Dispute Resolution</w:t>
                    </w:r>
                  </w:hyperlink>
                </w:p>
              </w:tc>
            </w:tr>
            <w:tr>
              <w:tc>
                <w:tcPr>
                  <w:tcW w:w="3686.4" w:type="dxa"/>
                </w:tcPr>
                <w:p>
                  <w:pPr>
                    <w:spacing w:after="220"/>
                  </w:pPr>
                  <w:hyperlink r:id="Rb5aaaa49d5a8498c" w:history="1">
                    <w:r>
                      <w:rPr>
                        <w:rStyle w:val="Hyperlink"/>
                        <w:rFonts w:ascii="Georgia" w:hAnsi="Georgia" w:cs="Georgia"/>
                        <w:sz w:val="24"/>
                        <w:szCs w:val="24"/>
                      </w:rPr>
                      <w:t>Bribery and Corruption</w:t>
                    </w:r>
                  </w:hyperlink>
                </w:p>
              </w:tc>
            </w:tr>
            <w:tr>
              <w:tc>
                <w:tcPr>
                  <w:tcW w:w="3686.4" w:type="dxa"/>
                </w:tcPr>
                <w:p>
                  <w:pPr>
                    <w:spacing w:after="220"/>
                  </w:pPr>
                  <w:hyperlink r:id="R5c825faad1db4427" w:history="1">
                    <w:r>
                      <w:rPr>
                        <w:rStyle w:val="Hyperlink"/>
                        <w:rFonts w:ascii="Georgia" w:hAnsi="Georgia" w:cs="Georgia"/>
                        <w:sz w:val="24"/>
                        <w:szCs w:val="24"/>
                      </w:rPr>
                      <w:t>Global Class and Collective Actions</w:t>
                    </w:r>
                  </w:hyperlink>
                </w:p>
              </w:tc>
            </w:tr>
            <w:tr>
              <w:tc>
                <w:tcPr>
                  <w:tcW w:w="3686.4" w:type="dxa"/>
                </w:tcPr>
                <w:p>
                  <w:pPr>
                    <w:spacing w:after="220"/>
                  </w:pPr>
                  <w:hyperlink r:id="R1bfeb35e2786423c" w:history="1">
                    <w:r>
                      <w:rPr>
                        <w:rStyle w:val="Hyperlink"/>
                        <w:rFonts w:ascii="Georgia" w:hAnsi="Georgia" w:cs="Georgia"/>
                        <w:sz w:val="24"/>
                        <w:szCs w:val="24"/>
                      </w:rPr>
                      <w:t>Commercial Litigation</w:t>
                    </w:r>
                  </w:hyperlink>
                </w:p>
              </w:tc>
            </w:tr>
            <w:tr>
              <w:tc>
                <w:tcPr>
                  <w:tcW w:w="3686.4" w:type="dxa"/>
                </w:tcPr>
                <w:p>
                  <w:pPr>
                    <w:spacing w:after="220"/>
                  </w:pPr>
                  <w:hyperlink r:id="R48e4f06b5338414b" w:history="1">
                    <w:r>
                      <w:rPr>
                        <w:rStyle w:val="Hyperlink"/>
                        <w:rFonts w:ascii="Georgia" w:hAnsi="Georgia" w:cs="Georgia"/>
                        <w:sz w:val="24"/>
                        <w:szCs w:val="24"/>
                      </w:rPr>
                      <w:t>Pharmaceuticals and Biotechnology</w:t>
                    </w:r>
                  </w:hyperlink>
                </w:p>
              </w:tc>
            </w:tr>
            <w:tr>
              <w:tc>
                <w:tcPr>
                  <w:tcW w:w="3686.4" w:type="dxa"/>
                </w:tcPr>
                <w:p>
                  <w:pPr>
                    <w:spacing w:after="220"/>
                  </w:pPr>
                  <w:hyperlink r:id="R5c825faad1db4427" w:history="1">
                    <w:r>
                      <w:rPr>
                        <w:rStyle w:val="Hyperlink"/>
                        <w:rFonts w:ascii="Georgia" w:hAnsi="Georgia" w:cs="Georgia"/>
                        <w:sz w:val="24"/>
                        <w:szCs w:val="24"/>
                      </w:rPr>
                      <w:t>Product Compliance</w:t>
                    </w:r>
                  </w:hyperlink>
                </w:p>
              </w:tc>
            </w:tr>
            <w:tr>
              <w:tc>
                <w:tcPr>
                  <w:tcW w:w="3686.4" w:type="dxa"/>
                </w:tcPr>
                <w:p>
                  <w:pPr>
                    <w:spacing w:after="220"/>
                  </w:pPr>
                  <w:hyperlink r:id="R5dc3b7032411483f" w:history="1">
                    <w:r>
                      <w:rPr>
                        <w:rStyle w:val="Hyperlink"/>
                        <w:rFonts w:ascii="Georgia" w:hAnsi="Georgia" w:cs="Georgia"/>
                        <w:sz w:val="24"/>
                        <w:szCs w:val="24"/>
                      </w:rPr>
                      <w:t>Product Litigation</w:t>
                    </w:r>
                  </w:hyperlink>
                </w:p>
              </w:tc>
            </w:tr>
            <w:tr>
              <w:tc>
                <w:tcPr>
                  <w:tcW w:w="3686.4" w:type="dxa"/>
                </w:tcPr>
                <w:p>
                  <w:pPr>
                    <w:spacing w:after="220"/>
                  </w:pPr>
                  <w:hyperlink r:id="R8036697d1f8f47d6" w:history="1">
                    <w:r>
                      <w:rPr>
                        <w:rStyle w:val="Hyperlink"/>
                        <w:rFonts w:ascii="Georgia" w:hAnsi="Georgia" w:cs="Georgia"/>
                        <w:sz w:val="24"/>
                        <w:szCs w:val="24"/>
                      </w:rPr>
                      <w:t>Real Estate Litigation and Disputes</w:t>
                    </w:r>
                  </w:hyperlink>
                </w:p>
              </w:tc>
            </w:tr>
            <w:tr>
              <w:tc>
                <w:tcPr>
                  <w:tcW w:w="3686.4" w:type="dxa"/>
                </w:tcPr>
                <w:p>
                  <w:pPr>
                    <w:spacing w:after="220"/>
                  </w:pPr>
                  <w:hyperlink r:id="Rbb50f8bda28a4a52" w:history="1">
                    <w:r>
                      <w:rPr>
                        <w:rStyle w:val="Hyperlink"/>
                        <w:rFonts w:ascii="Georgia" w:hAnsi="Georgia" w:cs="Georgia"/>
                        <w:sz w:val="24"/>
                        <w:szCs w:val="24"/>
                      </w:rPr>
                      <w:t>Whistleblowing</w:t>
                    </w:r>
                  </w:hyperlink>
                </w:p>
              </w:tc>
            </w:tr>
            <w:tr>
              <w:tc>
                <w:tcPr>
                  <w:tcW w:w="3686.4" w:type="dxa"/>
                </w:tcPr>
                <w:p>
                  <w:pPr>
                    <w:spacing w:after="220"/>
                  </w:pPr>
                  <w:hyperlink r:id="Re920b74d9d904ddd" w:history="1">
                    <w:r>
                      <w:rPr>
                        <w:rStyle w:val="Hyperlink"/>
                        <w:rFonts w:ascii="Georgia" w:hAnsi="Georgia" w:cs="Georgia"/>
                        <w:sz w:val="24"/>
                        <w:szCs w:val="24"/>
                      </w:rPr>
                      <w:t>Antitrust and Competition Litigation</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Law Degree magna cum laude, Università Statale di Milano, Milano, 1988</w:t>
                  </w:r>
                </w:p>
              </w:tc>
            </w:tr>
            <w:tr>
              <w:tc>
                <w:tcPr>
                  <w:tcW w:w="3686.4" w:type="dxa"/>
                </w:tcPr>
                <w:p>
                  <w:pPr>
                    <w:spacing w:after="220"/>
                  </w:pPr>
                  <w:r>
                    <w:rPr>
                      <w:lang w:val="en-US"/>
                      <w:rFonts w:ascii="Georgia" w:hAnsi="Georgia" w:cs="Georgia"/>
                      <w:u w:val="none"/>
                      <w:sz w:val="24"/>
                      <w:szCs w:val="24"/>
                      <w:color w:val="000000"/>
                    </w:rPr>
                    <w:t>Visiting student at the Department of Economics and Political Science, University College London, 1985</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7_Memberships"/>
            </w:tblPr>
            <w:tblGrid>
              <w:gridCol w:w="3684"/>
            </w:tblGrid>
            <w:tr w:rsidR="004A1494" w:rsidTr="003A43D4">
              <w:tc>
                <w:tcPr>
                  <w:tcW w:w="3684" w:type="dxa"/>
                </w:tcPr>
                <w:p w:rsidR="004A1494" w:rsidRPr="00F90870" w:rsidRDefault="004A1494">
                  <w:pPr>
                    <w:rPr>
                      <w:sz w:val="44"/>
                      <w:szCs w:val="44"/>
                    </w:rPr>
                  </w:pPr>
                  <w:r>
                    <w:rPr>
                      <w:lang w:val="en-US"/>
                      <w:rFonts w:ascii="Calibri" w:hAnsi="Calibri" w:cs="Calibri"/>
                      <w:u w:val="none"/>
                      <w:sz w:val="40"/>
                      <w:szCs w:val="40"/>
                      <w:color w:val="58A618"/>
                    </w:rPr>
                    <w:t>Memberships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8_MembershipsList"/>
            </w:tblPr>
            <w:tblGrid>
              <w:gridCol w:w="3684"/>
            </w:tblGrid>
            <w:tr>
              <w:tc>
                <w:tcPr>
                  <w:tcW w:w="3686.4" w:type="dxa"/>
                </w:tcPr>
                <w:p>
                  <w:pPr>
                    <w:spacing w:after="220"/>
                  </w:pPr>
                  <w:r>
                    <w:rPr>
                      <w:lang w:val="en-US"/>
                      <w:rFonts w:ascii="Georgia" w:hAnsi="Georgia" w:cs="Georgia"/>
                      <w:u w:val="none"/>
                      <w:sz w:val="24"/>
                      <w:szCs w:val="24"/>
                      <w:color w:val="000000"/>
                    </w:rPr>
                    <w:t>International Association of Defence Counsel ("IADC")</w:t>
                  </w:r>
                </w:p>
              </w:tc>
            </w:tr>
            <w:tr>
              <w:tc>
                <w:tcPr>
                  <w:tcW w:w="3686.4" w:type="dxa"/>
                </w:tcPr>
                <w:p>
                  <w:pPr>
                    <w:spacing w:after="220"/>
                  </w:pPr>
                  <w:r>
                    <w:rPr>
                      <w:lang w:val="en-US"/>
                      <w:rFonts w:ascii="Georgia" w:hAnsi="Georgia" w:cs="Georgia"/>
                      <w:u w:val="none"/>
                      <w:sz w:val="24"/>
                      <w:szCs w:val="24"/>
                      <w:color w:val="000000"/>
                    </w:rPr>
                    <w:t>International Bar Association (IBA)</w:t>
                  </w:r>
                </w:p>
              </w:tc>
            </w:tr>
          </w:tbl>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9_border7"/>
            </w:tblPr>
            <w:tblGrid>
              <w:gridCol w:w="3684"/>
            </w:tblGrid>
            <w:tr w:rsidR="00BF719B" w:rsidRPr="00BF719B" w:rsidTr="00FE240B">
              <w:trPr>
                <w:trHeight w:val="158"/>
              </w:trPr>
              <w:tc>
                <w:tcPr>
                  <w:tcW w:w="3684" w:type="dxa"/>
                </w:tcPr>
                <w:p w:rsidR="00BF719B" w:rsidRPr="00D932FF" w:rsidRDefault="00BF719B">
                  <w:pPr>
                    <w:rPr>
                      <w:sz w:val="16"/>
                      <w:szCs w:val="16"/>
                    </w:rPr>
                  </w:pPr>
                  <w:r w:rsidRPr="00D932FF">
                    <w:rPr>
                      <w:noProof/>
                      <w:color w:val="E7E6E6" w:themeColor="background2"/>
                      <w:sz w:val="16"/>
                      <w:szCs w:val="16"/>
                    </w:rPr>
                    <mc:AlternateContent>
                      <mc:Choice Requires="wps">
                        <w:drawing>
                          <wp:anchor distT="0" distB="0" distL="114300" distR="114300" simplePos="0" relativeHeight="251693056" behindDoc="0" locked="0" layoutInCell="1" allowOverlap="1" wp14:anchorId="073BD4AC" wp14:editId="1D5A7BB7">
                            <wp:simplePos x="0" y="0"/>
                            <wp:positionH relativeFrom="column">
                              <wp:posOffset>-12700</wp:posOffset>
                            </wp:positionH>
                            <wp:positionV relativeFrom="paragraph">
                              <wp:posOffset>69215</wp:posOffset>
                            </wp:positionV>
                            <wp:extent cx="2228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05EB12"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5.45pt" to="17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" strokecolor="#ccc" strokeweight="1.5pt">
                            <v:stroke joinstyle="miter"/>
                          </v:line>
                        </w:pict>
                      </mc:Fallback>
                    </mc:AlternateContent>
                  </w:r>
                </w:p>
              </w:tc>
            </w:tr>
          </w:tbl>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A client enthuses: "Francesca Rolla is a strategic thinker who is organised and proactive. She is very precise and detail-oriented. She's also very passionate about her job and takes good care of her clients."</w:t>
                  </w:r>
                </w:p>
                <w:p>
                  <w:pPr>
                    <w:jc w:val="right"/>
                    <w:spacing w:after="300"/>
                  </w:pPr>
                  <w:r>
                    <w:rPr>
                      <w:lang w:val="en-US"/>
                      <w:u w:val="none"/>
                      <w:i/>
                      <w:rFonts w:ascii="Georgia" w:hAnsi="Georgia" w:cs="Georgia"/>
                      <w:sz w:val="24"/>
                      <w:szCs w:val="24"/>
                    </w:rPr>
                    <w:t>Chambers Global and Europe, 2022</w:t>
                  </w:r>
                </w:p>
              </w:tc>
            </w:tr>
            <w:tr>
              <w:tc>
                <w:tcPr>
                  <w:tcW w:w="3686.4" w:type="dxa"/>
                </w:tcPr>
                <w:p>
                  <w:pPr>
                    <w:spacing w:after="120"/>
                  </w:pPr>
                  <w:r>
                    <w:rPr>
                      <w:lang w:val="en-US"/>
                      <w:rFonts w:ascii="Georgia" w:hAnsi="Georgia" w:cs="Georgia"/>
                      <w:u w:val="none"/>
                      <w:sz w:val="24"/>
                      <w:szCs w:val="24"/>
                      <w:color w:val="000000"/>
                    </w:rPr>
                    <w:t>Francesca Rolla "is a very efficient and client-oriented lawyer," a source says. She is well known for advising on product liability matters and internal investigations for a variety of pharmaceutical and medical device companies.</w:t>
                  </w:r>
                </w:p>
                <w:p>
                  <w:pPr>
                    <w:jc w:val="right"/>
                    <w:spacing w:after="300"/>
                  </w:pPr>
                  <w:r>
                    <w:rPr>
                      <w:lang w:val="en-US"/>
                      <w:u w:val="none"/>
                      <w:i/>
                      <w:rFonts w:ascii="Georgia" w:hAnsi="Georgia" w:cs="Georgia"/>
                      <w:sz w:val="24"/>
                      <w:szCs w:val="24"/>
                    </w:rPr>
                    <w:t>Chambers Global and Europe, 2022</w:t>
                  </w:r>
                </w:p>
              </w:tc>
            </w:tr>
            <w:tr>
              <w:tc>
                <w:tcPr>
                  <w:tcW w:w="3686.4" w:type="dxa"/>
                </w:tcPr>
                <w:p>
                  <w:pPr>
                    <w:spacing w:after="120"/>
                  </w:pPr>
                  <w:r>
                    <w:rPr>
                      <w:lang w:val="en-US"/>
                      <w:rFonts w:ascii="Georgia" w:hAnsi="Georgia" w:cs="Georgia"/>
                      <w:u w:val="none"/>
                      <w:sz w:val="24"/>
                      <w:szCs w:val="24"/>
                      <w:color w:val="000000"/>
                    </w:rPr>
                    <w:t>Francesca Rolla is very client friendly, practical and available. I like her balanced approach, which sets out clear choices when proceeding with cases.</w:t>
                  </w:r>
                </w:p>
                <w:p>
                  <w:pPr>
                    <w:jc w:val="right"/>
                    <w:spacing w:after="300"/>
                  </w:pPr>
                  <w:r>
                    <w:rPr>
                      <w:lang w:val="en-US"/>
                      <w:u w:val="none"/>
                      <w:i/>
                      <w:rFonts w:ascii="Georgia" w:hAnsi="Georgia" w:cs="Georgia"/>
                      <w:sz w:val="24"/>
                      <w:szCs w:val="24"/>
                    </w:rPr>
                    <w:t>Legal500 EMEA, 2022</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b39b8d0e-91b8-4b57-ab2f-3eb4e112f3fb.jpeg" Id="R9ef53d06e64a407c" /><Relationship Type="http://schemas.openxmlformats.org/officeDocument/2006/relationships/hyperlink" Target="mailto:francesca.rolla@hoganlovells.com" TargetMode="External" Id="Rd9e05f8244854f77" /><Relationship Type="http://schemas.openxmlformats.org/officeDocument/2006/relationships/hyperlink" Target="https://mc-7c5ead77-4153-4f21-9a29-b0c7-cm.azurewebsites.net//en/service/corporate-and-securities-litigation" TargetMode="External" Id="R60eb1195b5b7436a" /><Relationship Type="http://schemas.openxmlformats.org/officeDocument/2006/relationships/hyperlink" Target="https://mc-7c5ead77-4153-4f21-9a29-b0c7-cm.azurewebsites.net//en/service/investigations" TargetMode="External" Id="R01c456fccd364694" /><Relationship Type="http://schemas.openxmlformats.org/officeDocument/2006/relationships/hyperlink" Target="https://mc-7c5ead77-4153-4f21-9a29-b0c7-cm.azurewebsites.net//en/service/litigation-and-arbitration" TargetMode="External" Id="Ra813e557f23a457b" /><Relationship Type="http://schemas.openxmlformats.org/officeDocument/2006/relationships/hyperlink" Target="https://mc-7c5ead77-4153-4f21-9a29-b0c7-cm.azurewebsites.net//en/service/commercial-litigation" TargetMode="External" Id="Rc393d16d93e64dc1" /><Relationship Type="http://schemas.openxmlformats.org/officeDocument/2006/relationships/hyperlink" Target="https://mc-7c5ead77-4153-4f21-9a29-b0c7-cm.azurewebsites.net//en/service/product-litigation---staged" TargetMode="External" Id="Ref74bc122e674135" /><Relationship Type="http://schemas.openxmlformats.org/officeDocument/2006/relationships/hyperlink" Target="https://mc-7c5ead77-4153-4f21-9a29-b0c7-cm.azurewebsites.net//en/service/products-law" TargetMode="External" Id="R95e98be9d217483d" /><Relationship Type="http://schemas.openxmlformats.org/officeDocument/2006/relationships/hyperlink" Target="https://mc-7c5ead77-4153-4f21-9a29-b0c7-cm.azurewebsites.net//en/service/technology-litigation" TargetMode="External" Id="Rfdb53715467a44ee" /><Relationship Type="http://schemas.openxmlformats.org/officeDocument/2006/relationships/hyperlink" Target="https://mc-7c5ead77-4153-4f21-9a29-b0c7-cm.azurewebsites.net//en/service/insurance-litigation" TargetMode="External" Id="R5623de6baade496f" /><Relationship Type="http://schemas.openxmlformats.org/officeDocument/2006/relationships/hyperlink" Target="https://mc-7c5ead77-4153-4f21-9a29-b0c7-cm.azurewebsites.net//en/service/africa-regional-practice" TargetMode="External" Id="R36cd5cfea25a43f1" /><Relationship Type="http://schemas.openxmlformats.org/officeDocument/2006/relationships/hyperlink" Target="https://mc-7c5ead77-4153-4f21-9a29-b0c7-cm.azurewebsites.net//en/sector/aerospace-and-defense" TargetMode="External" Id="R72fae70f8c9a496d" /><Relationship Type="http://schemas.openxmlformats.org/officeDocument/2006/relationships/hyperlink" Target="https://mc-7c5ead77-4153-4f21-9a29-b0c7-cm.azurewebsites.net//en/sector/manufacturing-and-industrials" TargetMode="External" Id="R14ef1b853fea425d" /><Relationship Type="http://schemas.openxmlformats.org/officeDocument/2006/relationships/hyperlink" Target="https://mc-7c5ead77-4153-4f21-9a29-b0c7-cm.azurewebsites.net//en/sector/education" TargetMode="External" Id="R0e341d90415a4f11" /><Relationship Type="http://schemas.openxmlformats.org/officeDocument/2006/relationships/hyperlink" Target="https://mc-7c5ead77-4153-4f21-9a29-b0c7-cm.azurewebsites.net//en/sector/automotive-and-mobility" TargetMode="External" Id="R44628eaa502c4f6a" /><Relationship Type="http://schemas.openxmlformats.org/officeDocument/2006/relationships/hyperlink" Target="https://mc-7c5ead77-4153-4f21-9a29-b0c7-cm.azurewebsites.net//en/sector/consumer" TargetMode="External" Id="Ree3c85f7493148b4" /><Relationship Type="http://schemas.openxmlformats.org/officeDocument/2006/relationships/hyperlink" Target="https://mc-7c5ead77-4153-4f21-9a29-b0c7-cm.azurewebsites.net//en/sector/energy" TargetMode="External" Id="Re5109b20211b4f6f" /><Relationship Type="http://schemas.openxmlformats.org/officeDocument/2006/relationships/hyperlink" Target="https://mc-7c5ead77-4153-4f21-9a29-b0c7-cm.azurewebsites.net//en/sector/insurance" TargetMode="External" Id="R793ce68ae21f47ba" /><Relationship Type="http://schemas.openxmlformats.org/officeDocument/2006/relationships/hyperlink" Target="https://mc-7c5ead77-4153-4f21-9a29-b0c7-cm.azurewebsites.net//en/sector/life-sciences-and-healthcare" TargetMode="External" Id="R626dee0b18a446cd" /><Relationship Type="http://schemas.openxmlformats.org/officeDocument/2006/relationships/hyperlink" Target="https://mc-7c5ead77-4153-4f21-9a29-b0c7-cm.azurewebsites.net//en/sector/transportation-and-logistics" TargetMode="External" Id="Rdfc25e70858d44a6" /><Relationship Type="http://schemas.openxmlformats.org/officeDocument/2006/relationships/hyperlink" Target="https://mc-7c5ead77-4153-4f21-9a29-b0c7-cm.azurewebsites.net/https://www.hoganlovells.com/en/capabilities/practice-category-group/litigation-arbitration-and-employment" TargetMode="External" Id="R5c825faad1db4427" /><Relationship Type="http://schemas.openxmlformats.org/officeDocument/2006/relationships/hyperlink" Target="https://mc-7c5ead77-4153-4f21-9a29-b0c7-cm.azurewebsites.net//en/aof/bribery-and-corruption" TargetMode="External" Id="Rb5aaaa49d5a8498c" /><Relationship Type="http://schemas.openxmlformats.org/officeDocument/2006/relationships/hyperlink" Target="https://mc-7c5ead77-4153-4f21-9a29-b0c7-cm.azurewebsites.net//en/aof/commercial-litigation---english-version-no-longer-live" TargetMode="External" Id="R1bfeb35e2786423c" /><Relationship Type="http://schemas.openxmlformats.org/officeDocument/2006/relationships/hyperlink" Target="https://mc-7c5ead77-4153-4f21-9a29-b0c7-cm.azurewebsites.net//en/aof/pharmaceutical-and-biotechnology" TargetMode="External" Id="R48e4f06b5338414b" /><Relationship Type="http://schemas.openxmlformats.org/officeDocument/2006/relationships/hyperlink" Target="https://mc-7c5ead77-4153-4f21-9a29-b0c7-cm.azurewebsites.net/https://www.hoganlovells.com/en/capabilities/practice-category-group/global-regulatory" TargetMode="External" Id="R5dc3b7032411483f" /><Relationship Type="http://schemas.openxmlformats.org/officeDocument/2006/relationships/hyperlink" Target="https://mc-7c5ead77-4153-4f21-9a29-b0c7-cm.azurewebsites.net//en/aof/real-estate-litigation-and-disputes" TargetMode="External" Id="R8036697d1f8f47d6" /><Relationship Type="http://schemas.openxmlformats.org/officeDocument/2006/relationships/hyperlink" Target="https://mc-7c5ead77-4153-4f21-9a29-b0c7-cm.azurewebsites.net//en/aof/whistleblowing" TargetMode="External" Id="Rbb50f8bda28a4a52" /><Relationship Type="http://schemas.openxmlformats.org/officeDocument/2006/relationships/hyperlink" Target="https://mc-7c5ead77-4153-4f21-9a29-b0c7-cm.azurewebsites.net//en/aof/antitrust-and-competition-litigation" TargetMode="External" Id="Re920b74d9d904ddd"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