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en-US"/>
                      <w:rFonts w:ascii="Calibri" w:hAnsi="Calibri" w:cs="Calibri"/>
                      <w:u w:val="none"/>
                      <w:sz w:val="48"/>
                      <w:szCs w:val="48"/>
                      <w:color w:val="2C5E4F"/>
                    </w:rPr>
                    <w:t>George V. John</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en-US"/>
                      <w:rFonts w:ascii="Georgia" w:hAnsi="Georgia" w:cs="Georgia"/>
                      <w:u w:val="none"/>
                      <w:sz w:val="32"/>
                      <w:szCs w:val="32"/>
                      <w:color w:val="000000"/>
                    </w:rPr>
                    <w:t>Partner</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en-US"/>
                      <w:rFonts w:ascii="Georgia" w:hAnsi="Georgia" w:cs="Georgia"/>
                      <w:u w:val="none"/>
                      <w:sz w:val="28"/>
                      <w:szCs w:val="28"/>
                      <w:color w:val="000000"/>
                    </w:rPr>
                    <w:t>Washington, D.C.
</w:t>
                  </w:r>
                  <w:r>
                    <w:rPr>
                      <w:lang w:val="en-US"/>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Biography</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i/>
                    </w:rPr>
                    <w:t>George John assures today’s regulation, legislation, and policy do not ground tomorrow’s engineering, innovation, and investment.</w:t>
                  </w:r>
                </w:p>
                <w:p>
                  <w:pPr>
                    <w:spacing w:line="276"/>
                  </w:pPr>
                  <w:r>
                    <w:rPr>
                      <w:rFonts w:ascii="Georgia" w:hAnsi="Georgia" w:cs="Georgia"/>
                      <w:sz w:val="24"/>
                      <w:szCs w:val="24"/>
                    </w:rPr>
                    <w:t>Technology innovation abounds. But the associated governance frameworks cannot keep pace. Established and startup companies, trade associations, and the investment community, among others, have enlisted George to overcome this imbalance and ensure their ventures take flight and flourish in the communications and space industries, including any potential overlap with sports, medical, or mobility applications.</w:t>
                  </w:r>
                  <w:r>
                    <w:br/>
                  </w:r>
                </w:p>
                <w:p>
                  <w:pPr>
                    <w:spacing w:line="276"/>
                  </w:pPr>
                  <w:r>
                    <w:rPr>
                      <w:rFonts w:ascii="Georgia" w:hAnsi="Georgia" w:cs="Georgia"/>
                      <w:sz w:val="24"/>
                      <w:szCs w:val="24"/>
                    </w:rPr>
                    <w:t>He has become a go-to problem solver, advisor, and advocate. With his support, clients have maneuvered deftly through complex, patchwork, and sometimes inscrutable rulemakings, consultations, and statutory construction; licensing, landing rights/market access, registration, equipment authorization, and labeling; regulatory, technical, and engineering standards compliance; and enforcement when they are tackling radiofrequency spectrum, orbital debris, remote sensing, and other related issues.</w:t>
                  </w:r>
                  <w:r>
                    <w:br/>
                  </w:r>
                </w:p>
                <w:p>
                  <w:pPr>
                    <w:spacing w:line="276"/>
                  </w:pPr>
                  <w:r>
                    <w:rPr>
                      <w:rFonts w:ascii="Georgia" w:hAnsi="Georgia" w:cs="Georgia"/>
                      <w:sz w:val="24"/>
                      <w:szCs w:val="24"/>
                    </w:rPr>
                    <w:t>What makes him unique are his numerous connections, deep industry knowledge, and prior diverse experiences. His current practice regularly engages US bodies such as the Federal Communications Commission (FCC), Department of Commerce (including the National Telecommunications and Information Administration, National Oceanic and Atmospheric Administration, and Office of Space Commerce), Department of Defense, Federal Aviation Administration (FAA), and US Congress; and other bodies such as the International Telecommunication Union, UN Committee on the Peaceful Uses for Outer Space, and foreign administrations (particularly in Europe where he lived during an extended secondment). Before starting his practice, previous career stops included a pioneering nanosatellite company and the FCC and FAA. Clients have secured expedited and often first-of-their-kind wins given his well-established relationships with and understanding of these decisionmakers.</w:t>
                  </w:r>
                  <w:r>
                    <w:br/>
                  </w:r>
                </w:p>
              </w:tc>
            </w:tr>
          </w:tbl>
          <w:p w:rsidR="009D34CC" w:rsidRPr="00086676" w:rsidRDefault="009D34CC" w:rsidP="00A408AD">
            <w:pPr>
              <w:rPr>
                <w:sz w:val="4"/>
                <w:szCs w:val="4"/>
              </w:rPr>
            </w:pPr>
            <w:r>
              <w:rPr>
                <w:sz w:val="4"/>
                <w:szCs w:val="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7_Representative Experience"/>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Representative experience</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8_RepresentativeExperienceContent"/>
            </w:tblPr>
            <w:tblGrid>
              <w:gridCol w:w="5841"/>
            </w:tblGrid>
            <w:tr w:rsidR="004A1494" w:rsidTr="00FF36A3">
              <w:tc>
                <w:tcPr>
                  <w:tcW w:w="5846.4" w:type="dxa"/>
                </w:tcPr>
                <w:p>
                  <w:pPr/>
                  <w:r>
                    <w:rPr>
                      <w:lang w:val="en-US"/>
                      <w:rFonts w:ascii="Georgia" w:hAnsi="Georgia" w:cs="Georgia"/>
                      <w:u w:val="none"/>
                      <w:sz w:val="24"/>
                      <w:szCs w:val="24"/>
                      <w:color w:val="000000"/>
                    </w:rPr>
                    <w:t>Helps pre-revenue and well-capitalized companies modernize requirements for RF spectrum licensing and auctions; Earth imaging; orbital debris mitigation; and government funding.</w:t>
                  </w:r>
                  <w:r>
                    <w:rPr>
                      <w:lang w:val="en-US"/>
                      <w:u w:val="none"/>
                    </w:rPr>
                    <w:br/>
                  </w:r>
                  <w:r>
                    <w:rPr>
                      <w:lang w:val="en-US"/>
                      <w:u w:val="none"/>
                    </w:rPr>
                    <w:br/>
                  </w:r>
                  <w:r>
                    <w:rPr>
                      <w:lang w:val="en-US"/>
                      <w:rFonts w:ascii="Georgia" w:hAnsi="Georgia" w:cs="Georgia"/>
                      <w:u w:val="none"/>
                      <w:sz w:val="24"/>
                      <w:szCs w:val="24"/>
                      <w:color w:val="000000"/>
                    </w:rPr>
                    <w:t>Procures RF spectrum licenses for satellites; earth stations; smartphones; sports equipment; medical devices; and platforms on airplanes, drones, cars, and other transport modes. </w:t>
                  </w:r>
                  <w:r>
                    <w:rPr>
                      <w:lang w:val="en-US"/>
                      <w:u w:val="none"/>
                    </w:rPr>
                    <w:br/>
                  </w:r>
                  <w:r>
                    <w:rPr>
                      <w:lang w:val="en-US"/>
                      <w:u w:val="none"/>
                    </w:rPr>
                    <w:br/>
                  </w:r>
                  <w:r>
                    <w:rPr>
                      <w:lang w:val="en-US"/>
                      <w:rFonts w:ascii="Georgia" w:hAnsi="Georgia" w:cs="Georgia"/>
                      <w:u w:val="none"/>
                      <w:sz w:val="24"/>
                      <w:szCs w:val="24"/>
                      <w:color w:val="000000"/>
                    </w:rPr>
                    <w:t>Secures experimental operating authority for industry disrupting technologies.</w:t>
                  </w:r>
                  <w:r>
                    <w:rPr>
                      <w:lang w:val="en-US"/>
                      <w:u w:val="none"/>
                    </w:rPr>
                    <w:br/>
                  </w:r>
                  <w:r>
                    <w:rPr>
                      <w:lang w:val="en-US"/>
                      <w:u w:val="none"/>
                    </w:rPr>
                    <w:br/>
                  </w:r>
                  <w:r>
                    <w:rPr>
                      <w:lang w:val="en-US"/>
                      <w:rFonts w:ascii="Georgia" w:hAnsi="Georgia" w:cs="Georgia"/>
                      <w:u w:val="none"/>
                      <w:sz w:val="24"/>
                      <w:szCs w:val="24"/>
                      <w:color w:val="000000"/>
                    </w:rPr>
                    <w:t>Obtains remote sensing licenses for Earth observation (panchromatic, hyperspectral, synthetic aperture radar, and other space-based applications).</w:t>
                  </w:r>
                  <w:r>
                    <w:rPr>
                      <w:lang w:val="en-US"/>
                      <w:u w:val="none"/>
                    </w:rPr>
                    <w:br/>
                  </w:r>
                  <w:r>
                    <w:rPr>
                      <w:lang w:val="en-US"/>
                      <w:u w:val="none"/>
                    </w:rPr>
                    <w:br/>
                  </w:r>
                  <w:r>
                    <w:rPr>
                      <w:lang w:val="en-US"/>
                      <w:rFonts w:ascii="Georgia" w:hAnsi="Georgia" w:cs="Georgia"/>
                      <w:u w:val="none"/>
                      <w:sz w:val="24"/>
                      <w:szCs w:val="24"/>
                      <w:color w:val="000000"/>
                    </w:rPr>
                    <w:t>Coordinates sharing of RF spectrum among commercial operators and with U.S. federal agencies (DOC, DOD, NASA, NOAA, NWS, and others).</w:t>
                  </w:r>
                  <w:r>
                    <w:rPr>
                      <w:lang w:val="en-US"/>
                      <w:u w:val="none"/>
                    </w:rPr>
                    <w:br/>
                  </w:r>
                  <w:r>
                    <w:rPr>
                      <w:lang w:val="en-US"/>
                      <w:u w:val="none"/>
                    </w:rPr>
                    <w:br/>
                  </w:r>
                  <w:r>
                    <w:rPr>
                      <w:lang w:val="en-US"/>
                      <w:rFonts w:ascii="Georgia" w:hAnsi="Georgia" w:cs="Georgia"/>
                      <w:u w:val="none"/>
                      <w:sz w:val="24"/>
                      <w:szCs w:val="24"/>
                      <w:color w:val="000000"/>
                    </w:rPr>
                    <w:t>Ensures investors make funding decisions that comply with domestic and international authorities’ rules on RF spectrum use and Earth observation.</w:t>
                  </w:r>
                  <w:r>
                    <w:rPr>
                      <w:lang w:val="en-US"/>
                      <w:u w:val="none"/>
                    </w:rPr>
                    <w:br/>
                  </w:r>
                  <w:r>
                    <w:rPr>
                      <w:lang w:val="en-US"/>
                      <w:u w:val="none"/>
                    </w:rPr>
                    <w:br/>
                  </w:r>
                  <w:r>
                    <w:rPr>
                      <w:lang w:val="en-US"/>
                      <w:rFonts w:ascii="Georgia" w:hAnsi="Georgia" w:cs="Georgia"/>
                      <w:u w:val="none"/>
                      <w:sz w:val="24"/>
                      <w:szCs w:val="24"/>
                      <w:color w:val="000000"/>
                    </w:rPr>
                    <w:t>Participates in federal advisory committee meetings that develop the public views of the U.S. administration on permissible international allocations for RF spectrum and related regulatory procedures.</w:t>
                  </w:r>
                  <w:r>
                    <w:rPr>
                      <w:lang w:val="en-US"/>
                      <w:u w:val="none"/>
                    </w:rPr>
                    <w:br/>
                  </w:r>
                  <w:r>
                    <w:rPr>
                      <w:lang w:val="en-US"/>
                      <w:u w:val="none"/>
                    </w:rPr>
                    <w:br/>
                  </w:r>
                  <w:r>
                    <w:rPr>
                      <w:lang w:val="en-US"/>
                      <w:rFonts w:ascii="Georgia" w:hAnsi="Georgia" w:cs="Georgia"/>
                      <w:u w:val="none"/>
                      <w:sz w:val="24"/>
                      <w:szCs w:val="24"/>
                      <w:color w:val="000000"/>
                    </w:rPr>
                    <w:t>Served as one of the youngest U.S. delegates at ITU WRC-19, a treaty-making meeting, and successfully garnered international support for protecting clients' RF spectrum rights.</w:t>
                  </w:r>
                </w:p>
              </w:tc>
            </w:tr>
          </w:tbl>
          <w:p w:rsidR="004A1494"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9_Awards and ranking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Awards and rankings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0_AwardsandrankingsList"/>
            </w:tblPr>
            <w:tblGrid>
              <w:gridCol w:w="5841"/>
            </w:tblGrid>
            <w:tr>
              <w:tc>
                <w:tcPr>
                  <w:tcW w:w="5846.4" w:type="dxa"/>
                </w:tcPr>
                <w:p>
                  <w:pPr/>
                </w:p>
                <w:p>
                  <w:pPr>
                    <w:numPr>
                      <w:ilvl w:val="0"/>
                      <w:numId w:val="4"/>
                    </w:numPr>
                    <w:spacing w:after="0"/>
                  </w:pPr>
                  <w:r>
                    <w:rPr>
                      <w:rFonts w:ascii="Georgia" w:hAnsi="Georgia" w:cs="Georgia"/>
                      <w:sz w:val="24"/>
                      <w:szCs w:val="24"/>
                    </w:rPr>
                    <w:t xml:space="preserve">Up and Coming (Space), </w:t>
                  </w:r>
                  <w:r>
                    <w:rPr>
                      <w:lang w:val="en-US"/>
                      <w:rFonts w:ascii="Georgia" w:hAnsi="Georgia" w:cs="Georgia"/>
                      <w:i/>
                      <w:u w:val="none"/>
                      <w:sz w:val="24"/>
                      <w:szCs w:val="24"/>
                      <w:color w:val="000000"/>
                    </w:rPr>
                    <w:t>Chambers</w:t>
                  </w:r>
                  <w:r>
                    <w:rPr>
                      <w:rFonts w:ascii="Georgia" w:hAnsi="Georgia" w:cs="Georgia"/>
                      <w:sz w:val="24"/>
                      <w:szCs w:val="24"/>
                    </w:rPr>
                    <w:t>, 2025</w:t>
                  </w:r>
                </w:p>
              </w:tc>
            </w:tr>
            <w:tr>
              <w:tc>
                <w:tcPr>
                  <w:tcW w:w="5846.4" w:type="dxa"/>
                </w:tcPr>
                <w:p>
                  <w:pPr/>
                </w:p>
                <w:p>
                  <w:pPr>
                    <w:numPr>
                      <w:ilvl w:val="0"/>
                      <w:numId w:val="5"/>
                    </w:numPr>
                    <w:spacing w:after="0"/>
                  </w:pPr>
                  <w:r>
                    <w:rPr>
                      <w:rFonts w:ascii="Georgia" w:hAnsi="Georgia" w:cs="Georgia"/>
                      <w:sz w:val="24"/>
                      <w:szCs w:val="24"/>
                    </w:rPr>
                    <w:t xml:space="preserve">Recommended (Telecoms and Broadcast: Regulatory), </w:t>
                  </w:r>
                  <w:r>
                    <w:rPr>
                      <w:lang w:val="en-US"/>
                      <w:rFonts w:ascii="Georgia" w:hAnsi="Georgia" w:cs="Georgia"/>
                      <w:i/>
                      <w:u w:val="none"/>
                      <w:sz w:val="24"/>
                      <w:szCs w:val="24"/>
                      <w:color w:val="000000"/>
                    </w:rPr>
                    <w:t>The Legal 500</w:t>
                  </w:r>
                  <w:r>
                    <w:rPr>
                      <w:rFonts w:ascii="Georgia" w:hAnsi="Georgia" w:cs="Georgia"/>
                      <w:sz w:val="24"/>
                      <w:szCs w:val="24"/>
                    </w:rPr>
                    <w:t>, 2021-2025</w:t>
                  </w:r>
                </w:p>
              </w:tc>
            </w:tr>
            <w:tr>
              <w:tc>
                <w:tcPr>
                  <w:tcW w:w="5846.4" w:type="dxa"/>
                </w:tcPr>
                <w:p>
                  <w:pPr/>
                </w:p>
                <w:p>
                  <w:pPr>
                    <w:numPr>
                      <w:ilvl w:val="0"/>
                      <w:numId w:val="6"/>
                    </w:numPr>
                    <w:spacing w:after="0"/>
                  </w:pPr>
                  <w:r>
                    <w:rPr>
                      <w:rFonts w:ascii="Georgia" w:hAnsi="Georgia" w:cs="Georgia"/>
                      <w:sz w:val="24"/>
                      <w:szCs w:val="24"/>
                    </w:rPr>
                    <w:t xml:space="preserve">Recommended (Telecoms and Broadcast: Transactions), </w:t>
                  </w:r>
                  <w:r>
                    <w:rPr>
                      <w:lang w:val="en-US"/>
                      <w:rFonts w:ascii="Georgia" w:hAnsi="Georgia" w:cs="Georgia"/>
                      <w:i/>
                      <w:u w:val="none"/>
                      <w:sz w:val="24"/>
                      <w:szCs w:val="24"/>
                      <w:color w:val="000000"/>
                    </w:rPr>
                    <w:t>The Legal 500</w:t>
                  </w:r>
                  <w:r>
                    <w:rPr>
                      <w:rFonts w:ascii="Georgia" w:hAnsi="Georgia" w:cs="Georgia"/>
                      <w:sz w:val="24"/>
                      <w:szCs w:val="24"/>
                    </w:rPr>
                    <w:t>, 2022-2025</w:t>
                  </w:r>
                </w:p>
              </w:tc>
            </w:tr>
            <w:tr>
              <w:tc>
                <w:tcPr>
                  <w:tcW w:w="5846.4" w:type="dxa"/>
                </w:tcPr>
                <w:p>
                  <w:pPr/>
                </w:p>
                <w:p>
                  <w:pPr>
                    <w:numPr>
                      <w:ilvl w:val="0"/>
                      <w:numId w:val="7"/>
                    </w:numPr>
                    <w:spacing w:after="0"/>
                  </w:pPr>
                  <w:r>
                    <w:rPr>
                      <w:rFonts w:ascii="Georgia" w:hAnsi="Georgia" w:cs="Georgia"/>
                      <w:sz w:val="24"/>
                      <w:szCs w:val="24"/>
                    </w:rPr>
                    <w:t xml:space="preserve">Rising Star, Top Attorneys Under 40 (Telecoms), </w:t>
                  </w:r>
                  <w:r>
                    <w:rPr>
                      <w:lang w:val="en-US"/>
                      <w:rFonts w:ascii="Georgia" w:hAnsi="Georgia" w:cs="Georgia"/>
                      <w:i/>
                      <w:u w:val="none"/>
                      <w:sz w:val="24"/>
                      <w:szCs w:val="24"/>
                      <w:color w:val="000000"/>
                    </w:rPr>
                    <w:t>Law360</w:t>
                  </w:r>
                  <w:r>
                    <w:rPr>
                      <w:rFonts w:ascii="Georgia" w:hAnsi="Georgia" w:cs="Georgia"/>
                      <w:sz w:val="24"/>
                      <w:szCs w:val="24"/>
                    </w:rPr>
                    <w:t>, 2022</w:t>
                  </w:r>
                </w:p>
              </w:tc>
            </w:tr>
            <w:tr>
              <w:tc>
                <w:tcPr>
                  <w:tcW w:w="5846.4" w:type="dxa"/>
                </w:tcPr>
                <w:p>
                  <w:pPr/>
                </w:p>
                <w:p>
                  <w:pPr>
                    <w:numPr>
                      <w:ilvl w:val="0"/>
                      <w:numId w:val="8"/>
                    </w:numPr>
                    <w:spacing w:after="0"/>
                  </w:pPr>
                  <w:r>
                    <w:rPr>
                      <w:rFonts w:ascii="Georgia" w:hAnsi="Georgia" w:cs="Georgia"/>
                      <w:sz w:val="24"/>
                      <w:szCs w:val="24"/>
                    </w:rPr>
                    <w:t xml:space="preserve">20 Under 35, </w:t>
                  </w:r>
                  <w:r>
                    <w:rPr>
                      <w:lang w:val="en-US"/>
                      <w:rFonts w:ascii="Georgia" w:hAnsi="Georgia" w:cs="Georgia"/>
                      <w:i/>
                      <w:u w:val="none"/>
                      <w:sz w:val="24"/>
                      <w:szCs w:val="24"/>
                      <w:color w:val="000000"/>
                    </w:rPr>
                    <w:t>Space &amp; Satellite Professionals International</w:t>
                  </w:r>
                  <w:r>
                    <w:rPr>
                      <w:rFonts w:ascii="Georgia" w:hAnsi="Georgia" w:cs="Georgia"/>
                      <w:sz w:val="24"/>
                      <w:szCs w:val="24"/>
                    </w:rPr>
                    <w:t>, 2020</w:t>
                  </w:r>
                </w:p>
              </w:tc>
            </w:tr>
          </w:tbl>
          <w:p>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Latest thinking and events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MB Group to deliver sovereign connectivity to Oman</w:t>
                  </w:r>
                  <w:r>
                    <w:rPr>
                      <w:rFonts w:ascii="Georgia" w:hAnsi="Georgia" w:cs="Georgia"/>
                      <w:sz w:val="20"/>
                      <w:szCs w:val="20"/>
                    </w:rPr>
                    <w:br/>
                  </w:r>
                  <w:r>
                    <w:rPr>
                      <w:rFonts w:ascii="Georgia" w:hAnsi="Georgia" w:cs="Georgia"/>
                      <w:sz w:val="20"/>
                      <w:szCs w:val="20"/>
                    </w:rPr>
                    <w:t>03 February 2026</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Connected Life Brochure 2026</w:t>
                  </w:r>
                  <w:r>
                    <w:rPr>
                      <w:rFonts w:ascii="Georgia" w:hAnsi="Georgia" w:cs="Georgia"/>
                      <w:sz w:val="20"/>
                      <w:szCs w:val="20"/>
                    </w:rPr>
                    <w:br/>
                  </w:r>
                  <w:r>
                    <w:rPr>
                      <w:rFonts w:ascii="Georgia" w:hAnsi="Georgia" w:cs="Georgia"/>
                      <w:sz w:val="20"/>
                      <w:szCs w:val="20"/>
                    </w:rPr>
                    <w:t>15 January 2026</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welcomes 2026 with partner and counsel promotions  across the Americas, Europe, and Asia-Pacific</w:t>
                  </w:r>
                  <w:r>
                    <w:rPr>
                      <w:rFonts w:ascii="Georgia" w:hAnsi="Georgia" w:cs="Georgia"/>
                      <w:sz w:val="20"/>
                      <w:szCs w:val="20"/>
                    </w:rPr>
                    <w:br/>
                  </w:r>
                  <w:r>
                    <w:rPr>
                      <w:rFonts w:ascii="Georgia" w:hAnsi="Georgia" w:cs="Georgia"/>
                      <w:sz w:val="20"/>
                      <w:szCs w:val="20"/>
                    </w:rPr>
                    <w:t>06 January 2026</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America’s New Commercial Spectrum Pipeline (Part 1)</w:t>
                  </w:r>
                  <w:r>
                    <w:rPr>
                      <w:rFonts w:ascii="Georgia" w:hAnsi="Georgia" w:cs="Georgia"/>
                      <w:sz w:val="20"/>
                      <w:szCs w:val="20"/>
                    </w:rPr>
                    <w:br/>
                  </w:r>
                  <w:r>
                    <w:rPr>
                      <w:rFonts w:ascii="Georgia" w:hAnsi="Georgia" w:cs="Georgia"/>
                      <w:sz w:val="20"/>
                      <w:szCs w:val="20"/>
                    </w:rPr>
                    <w:t>02 October 2025</w:t>
                  </w:r>
                </w:p>
              </w:tc>
            </w:tr>
            <w:tr>
              <w:tc>
                <w:tcPr>
                  <w:tcW w:w="5846.4" w:type="dxa"/>
                </w:tcPr>
                <w:p>
                  <w:pPr>
                    <w:spacing w:after="220"/>
                  </w:pPr>
                  <w:r>
                    <w:rPr>
                      <w:lang w:val="en-US"/>
                      <w:rFonts w:ascii="Georgia" w:hAnsi="Georgia" w:cs="Georgia"/>
                      <w:u w:val="none"/>
                      <w:sz w:val="24"/>
                      <w:szCs w:val="24"/>
                      <w:color w:val="58A618"/>
                    </w:rPr>
                    <w:t>Sponsorships and Speaking Engagements</w:t>
                  </w:r>
                  <w:r>
                    <w:rPr>
                      <w:rFonts w:ascii="Georgia" w:hAnsi="Georgia" w:cs="Georgia"/>
                      <w:sz w:val="24"/>
                      <w:szCs w:val="24"/>
                    </w:rPr>
                    <w:br/>
                  </w:r>
                  <w:r>
                    <w:rPr>
                      <w:rFonts w:ascii="Georgia" w:hAnsi="Georgia" w:cs="Georgia"/>
                      <w:sz w:val="24"/>
                      <w:szCs w:val="24"/>
                    </w:rPr>
                    <w:t>Four Hogan Lovells attorneys spoke at Space Law Symposium 2024</w:t>
                  </w:r>
                  <w:r>
                    <w:rPr>
                      <w:rFonts w:ascii="Georgia" w:hAnsi="Georgia" w:cs="Georgia"/>
                      <w:sz w:val="20"/>
                      <w:szCs w:val="20"/>
                    </w:rPr>
                    <w:br/>
                  </w:r>
                  <w:r>
                    <w:rPr>
                      <w:rFonts w:ascii="Georgia" w:hAnsi="Georgia" w:cs="Georgia"/>
                      <w:sz w:val="20"/>
                      <w:szCs w:val="20"/>
                    </w:rPr>
                    <w:t>4 June 2024 | 8:30 a.m. - 5:30 p.m. (ET)</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FCC signals broader agenda on national security, public safety, and more in Net Neutrality ruling</w:t>
                  </w:r>
                  <w:r>
                    <w:rPr>
                      <w:rFonts w:ascii="Georgia" w:hAnsi="Georgia" w:cs="Georgia"/>
                      <w:sz w:val="20"/>
                      <w:szCs w:val="20"/>
                    </w:rPr>
                    <w:br/>
                  </w:r>
                  <w:r>
                    <w:rPr>
                      <w:rFonts w:ascii="Georgia" w:hAnsi="Georgia" w:cs="Georgia"/>
                      <w:sz w:val="20"/>
                      <w:szCs w:val="20"/>
                    </w:rPr>
                    <w:t>26 April 2024</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e9f8cddedd94f19"/>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en-US"/>
                      <w:rFonts w:ascii="Georgia" w:hAnsi="Georgia" w:cs="Georgia"/>
                      <w:u w:val="none"/>
                      <w:sz w:val="36"/>
                      <w:szCs w:val="36"/>
                      <w:color w:val="000000"/>
                    </w:rPr>
                    <w:t>Phone</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en-US"/>
                      <w:rFonts w:ascii="Georgia" w:hAnsi="Georgia" w:cs="Georgia"/>
                      <w:u w:val="none"/>
                      <w:sz w:val="24"/>
                      <w:szCs w:val="24"/>
                      <w:color w:val="000000"/>
                    </w:rPr>
                    <w:t>+1 202 637 6989</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en-US"/>
                      <w:rFonts w:ascii="Georgia" w:hAnsi="Georgia" w:cs="Georgia"/>
                      <w:u w:val="none"/>
                      <w:sz w:val="24"/>
                      <w:szCs w:val="24"/>
                      <w:color w:val="000000"/>
                    </w:rPr>
                    <w:t>+1 202 637 5910</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0cca5ede47bc4f99" w:history="1">
                    <w:r>
                      <w:rPr>
                        <w:rStyle w:val="Hyperlink"/>
                        <w:rFonts w:ascii="Georgia" w:hAnsi="Georgia" w:cs="Georgia"/>
                        <w:sz w:val="22"/>
                        <w:szCs w:val="22"/>
                        <w:u w:val="none"/>
                      </w:rPr>
                      <w:t>george.john@hoganlovells.com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1_Languages"/>
            </w:tblPr>
            <w:tblGrid>
              <w:gridCol w:w="3684"/>
            </w:tblGrid>
            <w:tr w:rsidR="004A1494" w:rsidTr="00B67200">
              <w:tc>
                <w:tcPr>
                  <w:tcW w:w="3684" w:type="dxa"/>
                </w:tcPr>
                <w:p w:rsidR="004A1494" w:rsidRPr="00F90870" w:rsidRDefault="004A1494">
                  <w:pPr>
                    <w:rPr>
                      <w:sz w:val="44"/>
                      <w:szCs w:val="44"/>
                    </w:rPr>
                  </w:pPr>
                  <w:r>
                    <w:rPr>
                      <w:lang w:val="en-US"/>
                      <w:rFonts w:ascii="Calibri" w:hAnsi="Calibri" w:cs="Calibri"/>
                      <w:u w:val="none"/>
                      <w:sz w:val="40"/>
                      <w:szCs w:val="40"/>
                      <w:color w:val="58A618"/>
                    </w:rPr>
                    <w:t>Languages</w: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2_LanguagesList"/>
            </w:tblPr>
            <w:tblGrid>
              <w:gridCol w:w="3684"/>
            </w:tblGrid>
            <w:tr>
              <w:tc>
                <w:tcPr>
                  <w:tcW w:w="3686.4" w:type="dxa"/>
                </w:tcPr>
                <w:p>
                  <w:pPr>
                    <w:spacing w:after="220"/>
                  </w:pPr>
                  <w:r>
                    <w:rPr>
                      <w:lang w:val="en-US"/>
                      <w:rFonts w:ascii="Georgia" w:hAnsi="Georgia" w:cs="Georgia"/>
                      <w:u w:val="none"/>
                      <w:sz w:val="24"/>
                      <w:szCs w:val="24"/>
                      <w:color w:val="000000"/>
                    </w:rPr>
                    <w:t>English</w:t>
                  </w:r>
                </w:p>
              </w:tc>
            </w:tr>
            <w:tr>
              <w:tc>
                <w:tcPr>
                  <w:tcW w:w="3686.4" w:type="dxa"/>
                </w:tcPr>
                <w:p>
                  <w:pPr>
                    <w:spacing w:after="220"/>
                  </w:pPr>
                  <w:r>
                    <w:rPr>
                      <w:lang w:val="en-US"/>
                      <w:rFonts w:ascii="Georgia" w:hAnsi="Georgia" w:cs="Georgia"/>
                      <w:u w:val="none"/>
                      <w:sz w:val="24"/>
                      <w:szCs w:val="24"/>
                      <w:color w:val="000000"/>
                    </w:rPr>
                    <w:t>Malayalam</w:t>
                  </w:r>
                </w:p>
              </w:tc>
            </w:tr>
          </w:tbl>
          <w:p w:rsidR="00423DCE" w:rsidRPr="007007D0" w:rsidRDefault="00423DCE">
            <w:pPr>
              <w:rPr>
                <w:b w:val="0"/>
                <w:bCs w:val="0"/>
                <w:sz w:val="2"/>
                <w:szCs w:val="2"/>
              </w:rPr>
            </w:pPr>
          </w:p>
          <w:tbl>
            <w:tblPr>
              <w:tblStyle w:val="TableGrid"/>
              <w:tblW w:w="3730" w:type="dxa"/>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3_border2"/>
            </w:tblPr>
            <w:tblGrid>
              <w:gridCol w:w="3730"/>
            </w:tblGrid>
            <w:tr w:rsidR="00423DCE" w:rsidTr="007007D0">
              <w:trPr>
                <w:trHeight w:val="253"/>
              </w:trPr>
              <w:tc>
                <w:tcPr>
                  <w:tcW w:w="3730" w:type="dxa"/>
                </w:tcPr>
                <w:p w:rsidR="00423DCE" w:rsidRDefault="00423DCE">
                  <w:pPr>
                    <w:rPr>
                      <w:sz w:val="20"/>
                      <w:szCs w:val="20"/>
                    </w:rPr>
                  </w:pPr>
                  <w:r w:rsidRPr="003D3503">
                    <w:rPr>
                      <w:noProof/>
                      <w:color w:val="E7E6E6" w:themeColor="background2"/>
                      <w:sz w:val="16"/>
                      <w:szCs w:val="16"/>
                    </w:rPr>
                    <mc:AlternateContent>
                      <mc:Choice Requires="wps">
                        <w:drawing>
                          <wp:anchor distT="0" distB="0" distL="114300" distR="114300" simplePos="0" relativeHeight="251700224" behindDoc="0" locked="0" layoutInCell="1" allowOverlap="1" wp14:anchorId="0D3DFF00" wp14:editId="1E6C5FB2">
                            <wp:simplePos x="0" y="0"/>
                            <wp:positionH relativeFrom="column">
                              <wp:posOffset>-1905</wp:posOffset>
                            </wp:positionH>
                            <wp:positionV relativeFrom="paragraph">
                              <wp:posOffset>59056</wp:posOffset>
                            </wp:positionV>
                            <wp:extent cx="221932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FA7A1E" id="Straight Connector 1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65pt" to="174.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" strokecolor="#ccc" strokeweight="1.5pt">
                            <v:stroke joinstyle="miter"/>
                          </v:line>
                        </w:pict>
                      </mc:Fallback>
                    </mc:AlternateContent>
                  </w:r>
                </w:p>
              </w:tc>
            </w:tr>
          </w:tbl>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en-US"/>
                      <w:rFonts w:ascii="Calibri" w:hAnsi="Calibri" w:cs="Calibri"/>
                      <w:u w:val="none"/>
                      <w:sz w:val="40"/>
                      <w:szCs w:val="40"/>
                      <w:color w:val="58A618"/>
                    </w:rPr>
                    <w:t>Practices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ffe1c1c5c4c94706" w:history="1">
                    <w:r>
                      <w:rPr>
                        <w:rStyle w:val="Hyperlink"/>
                        <w:rFonts w:ascii="Georgia" w:hAnsi="Georgia" w:cs="Georgia"/>
                        <w:sz w:val="24"/>
                        <w:szCs w:val="24"/>
                      </w:rPr>
                      <w:t>Communications, Internet, and Media</w:t>
                    </w:r>
                  </w:hyperlink>
                </w:p>
              </w:tc>
            </w:tr>
            <w:tr>
              <w:tc>
                <w:tcPr>
                  <w:tcW w:w="3686.4" w:type="dxa"/>
                </w:tcPr>
                <w:p>
                  <w:pPr>
                    <w:spacing w:after="220"/>
                  </w:pPr>
                  <w:hyperlink r:id="Rf3a321ea85ed46e7" w:history="1">
                    <w:r>
                      <w:rPr>
                        <w:rStyle w:val="Hyperlink"/>
                        <w:rFonts w:ascii="Georgia" w:hAnsi="Georgia" w:cs="Georgia"/>
                        <w:sz w:val="24"/>
                        <w:szCs w:val="24"/>
                      </w:rPr>
                      <w:t>Space and Satellite</w:t>
                    </w:r>
                  </w:hyperlink>
                </w:p>
              </w:tc>
            </w:tr>
            <w:tr>
              <w:tc>
                <w:tcPr>
                  <w:tcW w:w="3686.4" w:type="dxa"/>
                </w:tcPr>
                <w:p>
                  <w:pPr>
                    <w:spacing w:after="220"/>
                  </w:pPr>
                  <w:hyperlink r:id="R3b7b1c78898444fc" w:history="1">
                    <w:r>
                      <w:rPr>
                        <w:rStyle w:val="Hyperlink"/>
                        <w:rFonts w:ascii="Georgia" w:hAnsi="Georgia" w:cs="Georgia"/>
                        <w:sz w:val="24"/>
                        <w:szCs w:val="24"/>
                      </w:rPr>
                      <w:t>Aviation</w:t>
                    </w:r>
                  </w:hyperlink>
                </w:p>
              </w:tc>
            </w:tr>
            <w:tr>
              <w:tc>
                <w:tcPr>
                  <w:tcW w:w="3686.4" w:type="dxa"/>
                </w:tcPr>
                <w:p>
                  <w:pPr>
                    <w:spacing w:after="220"/>
                  </w:pPr>
                  <w:hyperlink r:id="Rd3025ccc02984bdd" w:history="1">
                    <w:r>
                      <w:rPr>
                        <w:rStyle w:val="Hyperlink"/>
                        <w:rFonts w:ascii="Georgia" w:hAnsi="Georgia" w:cs="Georgia"/>
                        <w:sz w:val="24"/>
                        <w:szCs w:val="24"/>
                      </w:rPr>
                      <w:t>Administrative and Public Law</w:t>
                    </w:r>
                  </w:hyperlink>
                </w:p>
              </w:tc>
            </w:tr>
            <w:tr>
              <w:tc>
                <w:tcPr>
                  <w:tcW w:w="3686.4" w:type="dxa"/>
                </w:tcPr>
                <w:p>
                  <w:pPr>
                    <w:spacing w:after="220"/>
                  </w:pPr>
                  <w:hyperlink r:id="R59ba94d45b374b23" w:history="1">
                    <w:r>
                      <w:rPr>
                        <w:rStyle w:val="Hyperlink"/>
                        <w:rFonts w:ascii="Georgia" w:hAnsi="Georgia" w:cs="Georgia"/>
                        <w:sz w:val="24"/>
                        <w:szCs w:val="24"/>
                      </w:rPr>
                      <w:t>Government Relations and Public Affairs</w:t>
                    </w:r>
                  </w:hyperlink>
                </w:p>
              </w:tc>
            </w:tr>
            <w:tr>
              <w:tc>
                <w:tcPr>
                  <w:tcW w:w="3686.4" w:type="dxa"/>
                </w:tcPr>
                <w:p>
                  <w:pPr>
                    <w:spacing w:after="220"/>
                  </w:pPr>
                  <w:hyperlink r:id="Rc7364a9aa202450d" w:history="1">
                    <w:r>
                      <w:rPr>
                        <w:rStyle w:val="Hyperlink"/>
                        <w:rFonts w:ascii="Georgia" w:hAnsi="Georgia" w:cs="Georgia"/>
                        <w:sz w:val="24"/>
                        <w:szCs w:val="24"/>
                      </w:rPr>
                      <w:t>Venture Capital and Emerging Companies</w:t>
                    </w:r>
                  </w:hyperlink>
                </w:p>
              </w:tc>
            </w:tr>
            <w:tr>
              <w:tc>
                <w:tcPr>
                  <w:tcW w:w="3686.4" w:type="dxa"/>
                </w:tcPr>
                <w:p>
                  <w:pPr>
                    <w:spacing w:after="220"/>
                  </w:pPr>
                  <w:hyperlink r:id="R6235a2cebbfe4a96" w:history="1">
                    <w:r>
                      <w:rPr>
                        <w:rStyle w:val="Hyperlink"/>
                        <w:rFonts w:ascii="Georgia" w:hAnsi="Georgia" w:cs="Georgia"/>
                        <w:sz w:val="24"/>
                        <w:szCs w:val="24"/>
                      </w:rPr>
                      <w:t>Private Equity</w:t>
                    </w:r>
                  </w:hyperlink>
                </w:p>
              </w:tc>
            </w:tr>
            <w:tr>
              <w:tc>
                <w:tcPr>
                  <w:tcW w:w="3686.4" w:type="dxa"/>
                </w:tcPr>
                <w:p>
                  <w:pPr>
                    <w:spacing w:after="220"/>
                  </w:pPr>
                  <w:hyperlink r:id="Rec901dccce674fbb" w:history="1">
                    <w:r>
                      <w:rPr>
                        <w:rStyle w:val="Hyperlink"/>
                        <w:rFonts w:ascii="Georgia" w:hAnsi="Georgia" w:cs="Georgia"/>
                        <w:sz w:val="24"/>
                        <w:szCs w:val="24"/>
                      </w:rPr>
                      <w:t>Mergers and Acquisitions</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7_Industrie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Industries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8_IndustriesList"/>
            </w:tblPr>
            <w:tblGrid>
              <w:gridCol w:w="3684"/>
            </w:tblGrid>
            <w:tr>
              <w:tc>
                <w:tcPr>
                  <w:tcW w:w="3686.4" w:type="dxa"/>
                </w:tcPr>
                <w:p>
                  <w:pPr>
                    <w:spacing w:after="220"/>
                  </w:pPr>
                  <w:hyperlink r:id="Rc8044a4bdf2c4021" w:history="1">
                    <w:r>
                      <w:rPr>
                        <w:rStyle w:val="Hyperlink"/>
                        <w:rFonts w:ascii="Georgia" w:hAnsi="Georgia" w:cs="Georgia"/>
                        <w:sz w:val="24"/>
                        <w:szCs w:val="24"/>
                      </w:rPr>
                      <w:t>Technology</w:t>
                    </w:r>
                  </w:hyperlink>
                </w:p>
              </w:tc>
            </w:tr>
            <w:tr>
              <w:tc>
                <w:tcPr>
                  <w:tcW w:w="3686.4" w:type="dxa"/>
                </w:tcPr>
                <w:p>
                  <w:pPr>
                    <w:spacing w:after="220"/>
                  </w:pPr>
                  <w:hyperlink r:id="R42b11ff0e0f14264" w:history="1">
                    <w:r>
                      <w:rPr>
                        <w:rStyle w:val="Hyperlink"/>
                        <w:rFonts w:ascii="Georgia" w:hAnsi="Georgia" w:cs="Georgia"/>
                        <w:sz w:val="24"/>
                        <w:szCs w:val="24"/>
                      </w:rPr>
                      <w:t>Aerospace and Defense</w:t>
                    </w:r>
                  </w:hyperlink>
                </w:p>
              </w:tc>
            </w:tr>
            <w:tr>
              <w:tc>
                <w:tcPr>
                  <w:tcW w:w="3686.4" w:type="dxa"/>
                </w:tcPr>
                <w:p>
                  <w:pPr>
                    <w:spacing w:after="220"/>
                  </w:pPr>
                  <w:hyperlink r:id="Raf656ca271a14a12" w:history="1">
                    <w:r>
                      <w:rPr>
                        <w:rStyle w:val="Hyperlink"/>
                        <w:rFonts w:ascii="Georgia" w:hAnsi="Georgia" w:cs="Georgia"/>
                        <w:sz w:val="24"/>
                        <w:szCs w:val="24"/>
                      </w:rPr>
                      <w:t>Sports, Media and Entertainment</w:t>
                    </w:r>
                  </w:hyperlink>
                </w:p>
              </w:tc>
            </w:tr>
            <w:tr>
              <w:tc>
                <w:tcPr>
                  <w:tcW w:w="3686.4" w:type="dxa"/>
                </w:tcPr>
                <w:p>
                  <w:pPr>
                    <w:spacing w:after="220"/>
                  </w:pPr>
                  <w:hyperlink r:id="R20aed1bfb4104e7e" w:history="1">
                    <w:r>
                      <w:rPr>
                        <w:rStyle w:val="Hyperlink"/>
                        <w:rFonts w:ascii="Georgia" w:hAnsi="Georgia" w:cs="Georgia"/>
                        <w:sz w:val="24"/>
                        <w:szCs w:val="24"/>
                      </w:rPr>
                      <w:t>Life Sciences and Health Care</w:t>
                    </w:r>
                  </w:hyperlink>
                </w:p>
              </w:tc>
            </w:tr>
          </w:tbl>
          <w:p w:rsidR="000B7E44" w:rsidRDefault="000B7E4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9_border4"/>
            </w:tblPr>
            <w:tblGrid>
              <w:gridCol w:w="3684"/>
            </w:tblGrid>
            <w:tr w:rsidR="00E30A23" w:rsidTr="00FE240B">
              <w:trPr>
                <w:trHeight w:val="158"/>
              </w:trPr>
              <w:tc>
                <w:tcPr>
                  <w:tcW w:w="3684" w:type="dxa"/>
                </w:tcPr>
                <w:p w:rsidR="00E30A23" w:rsidRPr="003D3503" w:rsidRDefault="0060354B">
                  <w:pPr>
                    <w:rPr>
                      <w:sz w:val="16"/>
                      <w:szCs w:val="16"/>
                    </w:rPr>
                  </w:pPr>
                  <w:r w:rsidRPr="003D3503">
                    <w:rPr>
                      <w:noProof/>
                      <w:color w:val="E7E6E6" w:themeColor="background2"/>
                      <w:sz w:val="16"/>
                      <w:szCs w:val="16"/>
                    </w:rPr>
                    <mc:AlternateContent>
                      <mc:Choice Requires="wps">
                        <w:drawing>
                          <wp:anchor distT="0" distB="0" distL="114300" distR="114300" simplePos="0" relativeHeight="251698176" behindDoc="0" locked="0" layoutInCell="1" allowOverlap="1">
                            <wp:simplePos x="0" y="0"/>
                            <wp:positionH relativeFrom="column">
                              <wp:posOffset>-3175</wp:posOffset>
                            </wp:positionH>
                            <wp:positionV relativeFrom="paragraph">
                              <wp:posOffset>58420</wp:posOffset>
                            </wp:positionV>
                            <wp:extent cx="21907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1907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9D8BB" id="Straight Connector 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6pt" to="172.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" strokecolor="#ccc" strokeweight="1.5pt">
                            <v:stroke joinstyle="miter"/>
                          </v:line>
                        </w:pict>
                      </mc:Fallback>
                    </mc:AlternateContent>
                  </w:r>
                </w:p>
              </w:tc>
            </w:tr>
          </w:tbl>
          <w:p w:rsidR="00E30A23" w:rsidRPr="00F20A7A" w:rsidRDefault="00E30A23">
            <w:pPr>
              <w:rPr>
                <w:sz w:val="4"/>
                <w:szCs w:val="4"/>
              </w:rPr>
            </w:pPr>
          </w:p>
          <w:p w:rsidR="004A1494" w:rsidRPr="00F20A7A" w:rsidRDefault="004A1494">
            <w:pPr>
              <w:rPr>
                <w:sz w:val="4"/>
                <w:szCs w:val="4"/>
              </w:rPr>
            </w:pPr>
          </w:p>
          <w:p w:rsidR="00D66ED7" w:rsidRDefault="00D66ED7">
            <w:pPr>
              <w:rPr>
                <w:sz w:val="4"/>
                <w:szCs w:val="4"/>
              </w:rPr>
            </w:pPr>
          </w:p>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 and admissions</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en-US"/>
                      <w:rFonts w:ascii="Georgia" w:hAnsi="Georgia" w:cs="Georgia"/>
                      <w:u w:val="none"/>
                      <w:sz w:val="24"/>
                      <w:szCs w:val="24"/>
                      <w:color w:val="000000"/>
                    </w:rPr>
                    <w:t>J.D., American University Washington College of Law, 2016</w:t>
                  </w:r>
                </w:p>
              </w:tc>
            </w:tr>
            <w:tr>
              <w:tc>
                <w:tcPr>
                  <w:tcW w:w="3686.4" w:type="dxa"/>
                </w:tcPr>
                <w:p>
                  <w:pPr>
                    <w:spacing w:after="220"/>
                  </w:pPr>
                  <w:r>
                    <w:rPr>
                      <w:lang w:val="en-US"/>
                      <w:rFonts w:ascii="Georgia" w:hAnsi="Georgia" w:cs="Georgia"/>
                      <w:u w:val="none"/>
                      <w:sz w:val="24"/>
                      <w:szCs w:val="24"/>
                      <w:color w:val="000000"/>
                    </w:rPr>
                    <w:t>B.A., American University, 2013</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7_Memberships"/>
            </w:tblPr>
            <w:tblGrid>
              <w:gridCol w:w="3684"/>
            </w:tblGrid>
            <w:tr w:rsidR="004A1494" w:rsidTr="003A43D4">
              <w:tc>
                <w:tcPr>
                  <w:tcW w:w="3684" w:type="dxa"/>
                </w:tcPr>
                <w:p w:rsidR="004A1494" w:rsidRPr="00F90870" w:rsidRDefault="004A1494">
                  <w:pPr>
                    <w:rPr>
                      <w:sz w:val="44"/>
                      <w:szCs w:val="44"/>
                    </w:rPr>
                  </w:pPr>
                  <w:r>
                    <w:rPr>
                      <w:lang w:val="en-US"/>
                      <w:rFonts w:ascii="Calibri" w:hAnsi="Calibri" w:cs="Calibri"/>
                      <w:u w:val="none"/>
                      <w:sz w:val="40"/>
                      <w:szCs w:val="40"/>
                      <w:color w:val="58A618"/>
                    </w:rPr>
                    <w:t>Memberships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8_MembershipsList"/>
            </w:tblPr>
            <w:tblGrid>
              <w:gridCol w:w="3684"/>
            </w:tblGrid>
            <w:tr>
              <w:tc>
                <w:tcPr>
                  <w:tcW w:w="3686.4" w:type="dxa"/>
                </w:tcPr>
                <w:p>
                  <w:pPr>
                    <w:spacing w:after="220"/>
                  </w:pPr>
                  <w:r>
                    <w:rPr>
                      <w:lang w:val="en-US"/>
                      <w:rFonts w:ascii="Georgia" w:hAnsi="Georgia" w:cs="Georgia"/>
                      <w:u w:val="none"/>
                      <w:sz w:val="24"/>
                      <w:szCs w:val="24"/>
                      <w:color w:val="000000"/>
                    </w:rPr>
                    <w:t>Member, FCBA - The Tech Bar</w:t>
                  </w:r>
                </w:p>
              </w:tc>
            </w:tr>
            <w:tr>
              <w:tc>
                <w:tcPr>
                  <w:tcW w:w="3686.4" w:type="dxa"/>
                </w:tcPr>
                <w:p>
                  <w:pPr>
                    <w:spacing w:after="220"/>
                  </w:pPr>
                  <w:r>
                    <w:rPr>
                      <w:lang w:val="en-US"/>
                      <w:rFonts w:ascii="Georgia" w:hAnsi="Georgia" w:cs="Georgia"/>
                      <w:u w:val="none"/>
                      <w:sz w:val="24"/>
                      <w:szCs w:val="24"/>
                      <w:color w:val="000000"/>
                    </w:rPr>
                    <w:t>Member, Forum on Air and Space Law, American Bar Association</w:t>
                  </w:r>
                </w:p>
              </w:tc>
            </w:tr>
            <w:tr>
              <w:tc>
                <w:tcPr>
                  <w:tcW w:w="3686.4" w:type="dxa"/>
                </w:tcPr>
                <w:p>
                  <w:pPr>
                    <w:spacing w:after="220"/>
                  </w:pPr>
                  <w:r>
                    <w:rPr>
                      <w:lang w:val="en-US"/>
                      <w:rFonts w:ascii="Georgia" w:hAnsi="Georgia" w:cs="Georgia"/>
                      <w:u w:val="none"/>
                      <w:sz w:val="24"/>
                      <w:szCs w:val="24"/>
                      <w:color w:val="000000"/>
                    </w:rPr>
                    <w:t>Member, Space &amp; Satellite Professionals International</w:t>
                  </w:r>
                </w:p>
              </w:tc>
            </w:tr>
            <w:tr>
              <w:tc>
                <w:tcPr>
                  <w:tcW w:w="3686.4" w:type="dxa"/>
                </w:tcPr>
                <w:p>
                  <w:pPr>
                    <w:spacing w:after="220"/>
                  </w:pPr>
                  <w:r>
                    <w:rPr>
                      <w:lang w:val="en-US"/>
                      <w:rFonts w:ascii="Georgia" w:hAnsi="Georgia" w:cs="Georgia"/>
                      <w:u w:val="none"/>
                      <w:sz w:val="24"/>
                      <w:szCs w:val="24"/>
                      <w:color w:val="000000"/>
                    </w:rPr>
                    <w:t>Member, Washington Space Business Roundtable</w:t>
                  </w:r>
                </w:p>
              </w:tc>
            </w:tr>
            <w:tr>
              <w:tc>
                <w:tcPr>
                  <w:tcW w:w="3686.4" w:type="dxa"/>
                </w:tcPr>
                <w:p>
                  <w:pPr>
                    <w:spacing w:after="220"/>
                  </w:pPr>
                  <w:r>
                    <w:rPr>
                      <w:lang w:val="en-US"/>
                      <w:rFonts w:ascii="Georgia" w:hAnsi="Georgia" w:cs="Georgia"/>
                      <w:u w:val="none"/>
                      <w:sz w:val="24"/>
                      <w:szCs w:val="24"/>
                      <w:color w:val="000000"/>
                    </w:rPr>
                    <w:t>Member, South Asian Bar Association of Washington, D.C.</w:t>
                  </w:r>
                </w:p>
              </w:tc>
            </w:tr>
            <w:tr>
              <w:tc>
                <w:tcPr>
                  <w:tcW w:w="3686.4" w:type="dxa"/>
                </w:tcPr>
                <w:p>
                  <w:pPr>
                    <w:spacing w:after="220"/>
                  </w:pPr>
                  <w:r>
                    <w:rPr>
                      <w:lang w:val="en-US"/>
                      <w:rFonts w:ascii="Georgia" w:hAnsi="Georgia" w:cs="Georgia"/>
                      <w:u w:val="none"/>
                      <w:sz w:val="24"/>
                      <w:szCs w:val="24"/>
                      <w:color w:val="000000"/>
                    </w:rPr>
                    <w:t>Member, South Asians in Sports</w:t>
                  </w:r>
                </w:p>
              </w:tc>
            </w:tr>
          </w:tbl>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9_border7"/>
            </w:tblPr>
            <w:tblGrid>
              <w:gridCol w:w="3684"/>
            </w:tblGrid>
            <w:tr w:rsidR="00BF719B" w:rsidRPr="00BF719B" w:rsidTr="00FE240B">
              <w:trPr>
                <w:trHeight w:val="158"/>
              </w:trPr>
              <w:tc>
                <w:tcPr>
                  <w:tcW w:w="3684" w:type="dxa"/>
                </w:tcPr>
                <w:p w:rsidR="00BF719B" w:rsidRPr="00D932FF" w:rsidRDefault="00BF719B">
                  <w:pPr>
                    <w:rPr>
                      <w:sz w:val="16"/>
                      <w:szCs w:val="16"/>
                    </w:rPr>
                  </w:pPr>
                  <w:r w:rsidRPr="00D932FF">
                    <w:rPr>
                      <w:noProof/>
                      <w:color w:val="E7E6E6" w:themeColor="background2"/>
                      <w:sz w:val="16"/>
                      <w:szCs w:val="16"/>
                    </w:rPr>
                    <mc:AlternateContent>
                      <mc:Choice Requires="wps">
                        <w:drawing>
                          <wp:anchor distT="0" distB="0" distL="114300" distR="114300" simplePos="0" relativeHeight="251693056" behindDoc="0" locked="0" layoutInCell="1" allowOverlap="1" wp14:anchorId="073BD4AC" wp14:editId="1D5A7BB7">
                            <wp:simplePos x="0" y="0"/>
                            <wp:positionH relativeFrom="column">
                              <wp:posOffset>-12700</wp:posOffset>
                            </wp:positionH>
                            <wp:positionV relativeFrom="paragraph">
                              <wp:posOffset>69215</wp:posOffset>
                            </wp:positionV>
                            <wp:extent cx="22288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E05EB12" id="Straight Connector 13"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5.45pt" to="174.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" strokecolor="#ccc" strokeweight="1.5pt">
                            <v:stroke joinstyle="miter"/>
                          </v:line>
                        </w:pict>
                      </mc:Fallback>
                    </mc:AlternateContent>
                  </w:r>
                </w:p>
              </w:tc>
            </w:tr>
          </w:tbl>
          <w:p w:rsidR="0079721B" w:rsidRDefault="0079721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0_Bar admissions and qualifications"/>
            </w:tblPr>
            <w:tblGrid>
              <w:gridCol w:w="3684"/>
            </w:tblGrid>
            <w:tr w:rsidR="0079721B" w:rsidTr="003A43D4">
              <w:trPr>
                <w:trHeight w:val="199"/>
              </w:trPr>
              <w:tc>
                <w:tcPr>
                  <w:tcW w:w="3684" w:type="dxa"/>
                </w:tcPr>
                <w:p w:rsidR="0079721B" w:rsidRPr="00E2312E" w:rsidRDefault="0079721B" w:rsidP="0079721B">
                  <w:pPr>
                    <w:rPr>
                      <w:color w:val="58A618"/>
                      <w:sz w:val="44"/>
                      <w:szCs w:val="44"/>
                    </w:rPr>
                  </w:pPr>
                  <w:bookmarkStart w:id="2" w:name="_GoBack"/>
                  <w:bookmarkEnd w:id="2"/>
                  <w:r>
                    <w:rPr>
                      <w:lang w:val="en-US"/>
                      <w:rFonts w:ascii="Calibri" w:hAnsi="Calibri" w:cs="Calibri"/>
                      <w:u w:val="none"/>
                      <w:sz w:val="40"/>
                      <w:szCs w:val="40"/>
                      <w:color w:val="58A618"/>
                    </w:rPr>
                    <w:t>Bar admissions and qualifications</w:t>
                  </w:r>
                </w:p>
              </w:tc>
            </w:tr>
          </w:tbl>
          <w:p w:rsidR="0079721B" w:rsidRDefault="0079721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1_BaradmissionsList"/>
            </w:tblPr>
            <w:tblGrid>
              <w:gridCol w:w="3684"/>
            </w:tblGrid>
            <w:tr>
              <w:tc>
                <w:tcPr>
                  <w:tcW w:w="3686.4" w:type="dxa"/>
                </w:tcPr>
                <w:p>
                  <w:pPr>
                    <w:spacing w:after="220"/>
                  </w:pPr>
                  <w:r>
                    <w:rPr>
                      <w:lang w:val="en-US"/>
                      <w:rFonts w:ascii="Georgia" w:hAnsi="Georgia" w:cs="Georgia"/>
                      <w:u w:val="none"/>
                      <w:sz w:val="24"/>
                      <w:szCs w:val="24"/>
                      <w:color w:val="000000"/>
                    </w:rPr>
                    <w:t>District of Columbia</w:t>
                  </w:r>
                </w:p>
              </w:tc>
            </w:tr>
            <w:tr>
              <w:tc>
                <w:tcPr>
                  <w:tcW w:w="3686.4" w:type="dxa"/>
                </w:tcPr>
                <w:p>
                  <w:pPr>
                    <w:spacing w:after="220"/>
                  </w:pPr>
                  <w:r>
                    <w:rPr>
                      <w:lang w:val="en-US"/>
                      <w:rFonts w:ascii="Georgia" w:hAnsi="Georgia" w:cs="Georgia"/>
                      <w:u w:val="none"/>
                      <w:sz w:val="24"/>
                      <w:szCs w:val="24"/>
                      <w:color w:val="000000"/>
                    </w:rPr>
                    <w:t>California</w:t>
                  </w:r>
                </w:p>
              </w:tc>
            </w:tr>
          </w:tbl>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2_border8"/>
            </w:tblPr>
            <w:tblGrid>
              <w:gridCol w:w="3686"/>
            </w:tblGrid>
            <w:tr w:rsidR="00623210" w:rsidTr="00FE240B">
              <w:trPr>
                <w:trHeight w:val="158"/>
              </w:trPr>
              <w:tc>
                <w:tcPr>
                  <w:tcW w:w="3684" w:type="dxa"/>
                </w:tcPr>
                <w:p w:rsidR="00623210" w:rsidRPr="00D932FF" w:rsidRDefault="00623210" w:rsidP="00623210">
                  <w:pPr>
                    <w:rPr>
                      <w:sz w:val="16"/>
                      <w:szCs w:val="16"/>
                    </w:rPr>
                  </w:pPr>
                  <w:r w:rsidRPr="00D932FF">
                    <w:rPr>
                      <w:noProof/>
                      <w:color w:val="E7E6E6" w:themeColor="background2"/>
                      <w:sz w:val="16"/>
                      <w:szCs w:val="16"/>
                    </w:rPr>
                    <mc:AlternateContent>
                      <mc:Choice Requires="wps">
                        <w:drawing>
                          <wp:anchor distT="0" distB="0" distL="114300" distR="114300" simplePos="0" relativeHeight="251682816" behindDoc="0" locked="0" layoutInCell="1" allowOverlap="1" wp14:anchorId="3348DBEB" wp14:editId="0D29A84E">
                            <wp:simplePos x="0" y="0"/>
                            <wp:positionH relativeFrom="column">
                              <wp:posOffset>-12700</wp:posOffset>
                            </wp:positionH>
                            <wp:positionV relativeFrom="paragraph">
                              <wp:posOffset>38101</wp:posOffset>
                            </wp:positionV>
                            <wp:extent cx="22193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455E4C" id="Straight Connector 4"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pt" to="173.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" strokecolor="#ccc" strokeweight="1.5pt">
                            <v:stroke joinstyle="miter"/>
                          </v:line>
                        </w:pict>
                      </mc:Fallback>
                    </mc:AlternateContent>
                  </w:r>
                </w:p>
              </w:tc>
            </w:tr>
          </w:tbl>
          <w:p w:rsidR="00844541" w:rsidRPr="001A7332" w:rsidRDefault="00844541">
            <w:pPr>
              <w:rPr>
                <w:sz w:val="4"/>
                <w:szCs w:val="4"/>
              </w:rPr>
            </w:pPr>
          </w:p>
          <w:p w:rsidR="004A1494" w:rsidRPr="001A7332" w:rsidRDefault="004A1494">
            <w:pPr>
              <w:rPr>
                <w:sz w:val="4"/>
                <w:szCs w:val="4"/>
              </w:rPr>
            </w:pPr>
          </w:p>
          <w:p w:rsidR="00BF719B" w:rsidRDefault="00BF719B">
            <w:pPr>
              <w:rPr>
                <w:sz w:val="4"/>
                <w:szCs w:val="4"/>
              </w:rPr>
            </w:pPr>
          </w:p>
          <w:p w:rsidR="00BF719B" w:rsidRPr="001A7332" w:rsidRDefault="00BF719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6_Accolades"/>
            </w:tblPr>
            <w:tblGrid>
              <w:gridCol w:w="3684"/>
            </w:tblGrid>
            <w:tr w:rsidR="00D74D97" w:rsidTr="003A43D4">
              <w:trPr>
                <w:trHeight w:val="287"/>
              </w:trPr>
              <w:tc>
                <w:tcPr>
                  <w:tcW w:w="3684" w:type="dxa"/>
                </w:tcPr>
                <w:p w:rsidR="00D74D97" w:rsidRDefault="00D74D97">
                  <w:r>
                    <w:rPr>
                      <w:lang w:val="en-US"/>
                      <w:rFonts w:ascii="Calibri" w:hAnsi="Calibri" w:cs="Calibri"/>
                      <w:u w:val="none"/>
                      <w:sz w:val="40"/>
                      <w:szCs w:val="40"/>
                      <w:color w:val="58A618"/>
                    </w:rPr>
                    <w:t>Accolades</w:t>
                  </w:r>
                </w:p>
              </w:tc>
            </w:tr>
          </w:tbl>
          <w:p w:rsidR="001A7332" w:rsidRPr="001A7332" w:rsidRDefault="001A7332">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7_QuotesList"/>
            </w:tblPr>
            <w:tblGrid>
              <w:gridCol w:w="3686"/>
            </w:tblGrid>
            <w:tr>
              <w:tc>
                <w:tcPr>
                  <w:tcW w:w="3686.4" w:type="dxa"/>
                </w:tcPr>
                <w:p>
                  <w:pPr>
                    <w:spacing w:after="120"/>
                  </w:pPr>
                  <w:r>
                    <w:rPr>
                      <w:lang w:val="en-US"/>
                      <w:rFonts w:ascii="Georgia" w:hAnsi="Georgia" w:cs="Georgia"/>
                      <w:u w:val="none"/>
                      <w:sz w:val="24"/>
                      <w:szCs w:val="24"/>
                      <w:color w:val="000000"/>
                    </w:rPr>
                    <w:t>George John is a promising attorney who is bright, eager to help and an attentive listener. He possesses a broad range of expertise, including regulatory matters, and is capable of expanding his knowledge to meet diverse client needs.</w:t>
                  </w:r>
                </w:p>
                <w:p>
                  <w:pPr>
                    <w:jc w:val="right"/>
                    <w:spacing w:after="300"/>
                  </w:pPr>
                  <w:r>
                    <w:rPr>
                      <w:lang w:val="en-US"/>
                      <w:u w:val="none"/>
                      <w:i/>
                      <w:rFonts w:ascii="Georgia" w:hAnsi="Georgia" w:cs="Georgia"/>
                      <w:sz w:val="24"/>
                      <w:szCs w:val="24"/>
                    </w:rPr>
                    <w:t>The Legal 500</w:t>
                  </w:r>
                </w:p>
              </w:tc>
            </w:tr>
          </w:tbl>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8_border10"/>
            </w:tblPr>
            <w:tblGrid>
              <w:gridCol w:w="3686"/>
            </w:tblGrid>
            <w:tr w:rsidR="00181440" w:rsidTr="00FE240B">
              <w:trPr>
                <w:trHeight w:val="158"/>
              </w:trPr>
              <w:tc>
                <w:tcPr>
                  <w:tcW w:w="3686" w:type="dxa"/>
                </w:tcPr>
                <w:p w:rsidR="00181440" w:rsidRPr="00D932FF" w:rsidRDefault="00181440">
                  <w:pPr>
                    <w:rPr>
                      <w:sz w:val="16"/>
                      <w:szCs w:val="16"/>
                    </w:rPr>
                  </w:pPr>
                  <w:r w:rsidRPr="00D932FF">
                    <w:rPr>
                      <w:noProof/>
                      <w:color w:val="E7E6E6" w:themeColor="background2"/>
                      <w:sz w:val="16"/>
                      <w:szCs w:val="16"/>
                    </w:rPr>
                    <mc:AlternateContent>
                      <mc:Choice Requires="wps">
                        <w:drawing>
                          <wp:anchor distT="0" distB="0" distL="114300" distR="114300" simplePos="0" relativeHeight="251697152" behindDoc="0" locked="0" layoutInCell="1" allowOverlap="1" wp14:anchorId="06B872CB" wp14:editId="6D189D00">
                            <wp:simplePos x="0" y="0"/>
                            <wp:positionH relativeFrom="column">
                              <wp:posOffset>-12700</wp:posOffset>
                            </wp:positionH>
                            <wp:positionV relativeFrom="paragraph">
                              <wp:posOffset>29211</wp:posOffset>
                            </wp:positionV>
                            <wp:extent cx="2247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479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62BAF56" id="Straight Connector 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2.3pt" to="176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" strokecolor="#ccc" strokeweight="1.5pt">
                            <v:stroke joinstyle="miter"/>
                          </v:line>
                        </w:pict>
                      </mc:Fallback>
                    </mc:AlternateContent>
                  </w:r>
                </w:p>
              </w:tc>
            </w:tr>
          </w:tbl>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num>
  <w:num w:numId="2">
    <w:abstractNumId w:val="1"/>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04659fc3-23ae-40f3-9042-e46cb2691b7c.jpeg" Id="Rae9f8cddedd94f19" /><Relationship Type="http://schemas.openxmlformats.org/officeDocument/2006/relationships/hyperlink" Target="mailto:george.john@hoganlovells.com" TargetMode="External" Id="R0cca5ede47bc4f99" /><Relationship Type="http://schemas.openxmlformats.org/officeDocument/2006/relationships/hyperlink" Target="https://mc-7c5ead77-4153-4f21-9a29-b0c7-cm.azurewebsites.net//en/service/communications-internet-and-media" TargetMode="External" Id="Rffe1c1c5c4c94706" /><Relationship Type="http://schemas.openxmlformats.org/officeDocument/2006/relationships/hyperlink" Target="https://mc-7c5ead77-4153-4f21-9a29-b0c7-cm.azurewebsites.net//en/service/space-and-satellite" TargetMode="External" Id="Rf3a321ea85ed46e7" /><Relationship Type="http://schemas.openxmlformats.org/officeDocument/2006/relationships/hyperlink" Target="https://mc-7c5ead77-4153-4f21-9a29-b0c7-cm.azurewebsites.net//en/service/aviation-law" TargetMode="External" Id="R3b7b1c78898444fc" /><Relationship Type="http://schemas.openxmlformats.org/officeDocument/2006/relationships/hyperlink" Target="https://mc-7c5ead77-4153-4f21-9a29-b0c7-cm.azurewebsites.net/https://www.hlc.com/en/capabilities/practice-category-group/corporate-and-finance" TargetMode="External" Id="Rd3025ccc02984bdd" /><Relationship Type="http://schemas.openxmlformats.org/officeDocument/2006/relationships/hyperlink" Target="https://mc-7c5ead77-4153-4f21-9a29-b0c7-cm.azurewebsites.net//en/service/government-relations-and-public-affairs" TargetMode="External" Id="R59ba94d45b374b23" /><Relationship Type="http://schemas.openxmlformats.org/officeDocument/2006/relationships/hyperlink" Target="https://mc-7c5ead77-4153-4f21-9a29-b0c7-cm.azurewebsites.net//en/service/venture-capital-and-emerging-companies" TargetMode="External" Id="Rc7364a9aa202450d" /><Relationship Type="http://schemas.openxmlformats.org/officeDocument/2006/relationships/hyperlink" Target="https://mc-7c5ead77-4153-4f21-9a29-b0c7-cm.azurewebsites.net//en/service/private-equity" TargetMode="External" Id="R6235a2cebbfe4a96" /><Relationship Type="http://schemas.openxmlformats.org/officeDocument/2006/relationships/hyperlink" Target="https://mc-7c5ead77-4153-4f21-9a29-b0c7-cm.azurewebsites.net//en/service/mergers-and-acquisitions" TargetMode="External" Id="Rec901dccce674fbb" /><Relationship Type="http://schemas.openxmlformats.org/officeDocument/2006/relationships/hyperlink" Target="https://mc-7c5ead77-4153-4f21-9a29-b0c7-cm.azurewebsites.net//en/sector/technology" TargetMode="External" Id="Rc8044a4bdf2c4021" /><Relationship Type="http://schemas.openxmlformats.org/officeDocument/2006/relationships/hyperlink" Target="https://mc-7c5ead77-4153-4f21-9a29-b0c7-cm.azurewebsites.net//en/sector/aerospace-and-defense" TargetMode="External" Id="R42b11ff0e0f14264" /><Relationship Type="http://schemas.openxmlformats.org/officeDocument/2006/relationships/hyperlink" Target="https://mc-7c5ead77-4153-4f21-9a29-b0c7-cm.azurewebsites.net//en/sector/sports-media-and-entertainment" TargetMode="External" Id="Raf656ca271a14a12" /><Relationship Type="http://schemas.openxmlformats.org/officeDocument/2006/relationships/hyperlink" Target="https://mc-7c5ead77-4153-4f21-9a29-b0c7-cm.azurewebsites.net//en/sector/life-sciences-and-healthcare" TargetMode="External" Id="R20aed1bfb4104e7e"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