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David Duquette</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Associate</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New York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David Duquette is an Associate in our Corporate and Finance Practice Group. Since joining Hogan Lovells as a summer associate in 2022, David has supported both public and private companies on a variety of transactions. His practice is focused on mergers and acquisitions, with a particular emphasis on strategic transactions in the sports and entertainment sectors. Prior to joining Hogan Lovells, David earned his J.D. in 2023 from Duke University School of Law while serving as President of the Sports and Entertainment Law Society and participating in the Community Enterprise Clinic. David earned his B.A. in 2018 from Duke University.</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AtkinsRéalis on its pending acquisition of a majority stake in David Evans Enterprises, Inc. </w:t>
                  </w:r>
                  <w:r>
                    <w:rPr>
                      <w:lang w:val="en-US"/>
                      <w:u w:val="none"/>
                    </w:rPr>
                    <w:br/>
                  </w:r>
                  <w:r>
                    <w:rPr>
                      <w:lang w:val="en-US"/>
                      <w:u w:val="none"/>
                    </w:rPr>
                    <w:br/>
                  </w:r>
                  <w:r>
                    <w:rPr>
                      <w:lang w:val="en-US"/>
                      <w:rFonts w:ascii="Georgia" w:hAnsi="Georgia" w:cs="Georgia"/>
                      <w:u w:val="none"/>
                      <w:sz w:val="24"/>
                      <w:szCs w:val="24"/>
                      <w:color w:val="000000"/>
                    </w:rPr>
                    <w:t>Fenway Sports Group and a consortium of American Sports team owners in a multi-billion dollar partnership with PGA TOUR to launch PGA TOUR Enterprises.</w:t>
                  </w:r>
                  <w:r>
                    <w:rPr>
                      <w:lang w:val="en-US"/>
                      <w:u w:val="none"/>
                    </w:rPr>
                    <w:br/>
                  </w:r>
                  <w:r>
                    <w:rPr>
                      <w:lang w:val="en-US"/>
                      <w:u w:val="none"/>
                    </w:rPr>
                    <w:br/>
                  </w:r>
                  <w:r>
                    <w:rPr>
                      <w:lang w:val="en-US"/>
                      <w:rFonts w:ascii="Georgia" w:hAnsi="Georgia" w:cs="Georgia"/>
                      <w:u w:val="none"/>
                      <w:sz w:val="24"/>
                      <w:szCs w:val="24"/>
                      <w:color w:val="000000"/>
                    </w:rPr>
                    <w:t>Michael Arougheti, Mitchell Goldstein, and Michael Smith in purchasing the Baltimore Orioles, in partnership with Baltimore native David Rubenstein, Co-Founder and Co-Chairman of The Carlyle Group.</w:t>
                  </w:r>
                  <w:r>
                    <w:rPr>
                      <w:lang w:val="en-US"/>
                      <w:u w:val="none"/>
                    </w:rPr>
                    <w:br/>
                  </w:r>
                  <w:r>
                    <w:rPr>
                      <w:lang w:val="en-US"/>
                      <w:u w:val="none"/>
                    </w:rPr>
                    <w:br/>
                  </w:r>
                  <w:r>
                    <w:rPr>
                      <w:lang w:val="en-US"/>
                      <w:rFonts w:ascii="Georgia" w:hAnsi="Georgia" w:cs="Georgia"/>
                      <w:u w:val="none"/>
                      <w:sz w:val="24"/>
                      <w:szCs w:val="24"/>
                      <w:color w:val="000000"/>
                    </w:rPr>
                    <w:t>Major League Pickleball on its merger with PPA Tour.</w:t>
                  </w:r>
                  <w:r>
                    <w:rPr>
                      <w:lang w:val="en-US"/>
                      <w:u w:val="none"/>
                    </w:rPr>
                    <w:br/>
                  </w:r>
                  <w:r>
                    <w:rPr>
                      <w:lang w:val="en-US"/>
                      <w:u w:val="none"/>
                    </w:rPr>
                    <w:br/>
                  </w:r>
                  <w:r>
                    <w:rPr>
                      <w:lang w:val="en-US"/>
                      <w:rFonts w:ascii="Georgia" w:hAnsi="Georgia" w:cs="Georgia"/>
                      <w:u w:val="none"/>
                      <w:sz w:val="24"/>
                      <w:szCs w:val="24"/>
                      <w:color w:val="000000"/>
                    </w:rPr>
                    <w:t>Aldo on its acquisition of the shoe brand Sperry.</w:t>
                  </w:r>
                </w:p>
              </w:tc>
            </w:tr>
          </w:tbl>
          <w:p w:rsidR="004A1494" w:rsidRDefault="004A1494" w:rsidP="00D01155">
            <w:pPr>
              <w:ind w:left="-383" w:firstLine="383"/>
              <w:rPr>
                <w:sz w:val="4"/>
                <w:szCs w:val="4"/>
              </w:rPr>
            </w:pPr>
          </w:p>
          <w:p w:rsidR="004A1494" w:rsidRPr="00086676" w:rsidRDefault="004A1494" w:rsidP="00D01155">
            <w:pPr>
              <w:ind w:left="-383" w:firstLine="383"/>
              <w:rPr>
                <w:sz w:val="4"/>
                <w:szCs w:val="4"/>
              </w:rPr>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GameAbove Sports in partnership to bring international basketball showcase to Australia</w:t>
                  </w:r>
                  <w:r>
                    <w:rPr>
                      <w:rFonts w:ascii="Georgia" w:hAnsi="Georgia" w:cs="Georgia"/>
                      <w:sz w:val="20"/>
                      <w:szCs w:val="20"/>
                    </w:rPr>
                    <w:br/>
                  </w:r>
                  <w:r>
                    <w:rPr>
                      <w:rFonts w:ascii="Georgia" w:hAnsi="Georgia" w:cs="Georgia"/>
                      <w:sz w:val="20"/>
                      <w:szCs w:val="20"/>
                    </w:rPr>
                    <w:t>19 March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AtkinsRéalis in acquisition of majority stake in David Evans Enterprises, Inc., creating leading growth platform</w:t>
                  </w:r>
                  <w:r>
                    <w:rPr>
                      <w:rFonts w:ascii="Georgia" w:hAnsi="Georgia" w:cs="Georgia"/>
                      <w:sz w:val="20"/>
                      <w:szCs w:val="20"/>
                    </w:rPr>
                    <w:br/>
                  </w:r>
                  <w:r>
                    <w:rPr>
                      <w:rFonts w:ascii="Georgia" w:hAnsi="Georgia" w:cs="Georgia"/>
                      <w:sz w:val="20"/>
                      <w:szCs w:val="20"/>
                    </w:rPr>
                    <w:t>27 February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GameAbove Sports in acquiring an ownership stake in Brisbane Bullets</w:t>
                  </w:r>
                  <w:r>
                    <w:rPr>
                      <w:rFonts w:ascii="Georgia" w:hAnsi="Georgia" w:cs="Georgia"/>
                      <w:sz w:val="20"/>
                      <w:szCs w:val="20"/>
                    </w:rPr>
                    <w:br/>
                  </w:r>
                  <w:r>
                    <w:rPr>
                      <w:rFonts w:ascii="Georgia" w:hAnsi="Georgia" w:cs="Georgia"/>
                      <w:sz w:val="20"/>
                      <w:szCs w:val="20"/>
                    </w:rPr>
                    <w:t>13 November 2024</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Morgan family in purchasing limited partnership interest in the Philadelphia Phillies</w:t>
                  </w:r>
                  <w:r>
                    <w:rPr>
                      <w:rFonts w:ascii="Georgia" w:hAnsi="Georgia" w:cs="Georgia"/>
                      <w:sz w:val="20"/>
                      <w:szCs w:val="20"/>
                    </w:rPr>
                    <w:br/>
                  </w:r>
                  <w:r>
                    <w:rPr>
                      <w:rFonts w:ascii="Georgia" w:hAnsi="Georgia" w:cs="Georgia"/>
                      <w:sz w:val="20"/>
                      <w:szCs w:val="20"/>
                    </w:rPr>
                    <w:t>04 November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4766d3ddd74263"/>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+1 212 918 3055</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+1 212 918 3100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0ead6c7828e546c2" w:history="1">
                    <w:r>
                      <w:rPr>
                        <w:rStyle w:val="Hyperlink"/>
                        <w:rFonts w:ascii="Georgia" w:hAnsi="Georgia" w:cs="Georgia"/>
                        <w:sz w:val="22"/>
                        <w:szCs w:val="22"/>
                        <w:u w:val="none"/>
                      </w:rPr>
                      <w:t>david.duquette@hoganlovells.com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bf685da2c4344183" w:history="1">
                    <w:r>
                      <w:rPr>
                        <w:rStyle w:val="Hyperlink"/>
                        <w:rFonts w:ascii="Georgia" w:hAnsi="Georgia" w:cs="Georgia"/>
                        <w:sz w:val="24"/>
                        <w:szCs w:val="24"/>
                      </w:rPr>
                      <w:t>Mergers and Acquisitions</w:t>
                    </w:r>
                  </w:hyperlink>
                </w:p>
              </w:tc>
            </w:tr>
            <w:tr>
              <w:tc>
                <w:tcPr>
                  <w:tcW w:w="3686.4" w:type="dxa"/>
                </w:tcPr>
                <w:p>
                  <w:pPr>
                    <w:spacing w:after="220"/>
                  </w:pPr>
                  <w:hyperlink r:id="R4b3812e446d54942" w:history="1">
                    <w:r>
                      <w:rPr>
                        <w:rStyle w:val="Hyperlink"/>
                        <w:rFonts w:ascii="Georgia" w:hAnsi="Georgia" w:cs="Georgia"/>
                        <w:sz w:val="24"/>
                        <w:szCs w:val="24"/>
                      </w:rPr>
                      <w:t>Joint Ventures</w:t>
                    </w:r>
                  </w:hyperlink>
                </w:p>
              </w:tc>
            </w:tr>
            <w:tr>
              <w:tc>
                <w:tcPr>
                  <w:tcW w:w="3686.4" w:type="dxa"/>
                </w:tcPr>
                <w:p>
                  <w:pPr>
                    <w:spacing w:after="220"/>
                  </w:pPr>
                  <w:hyperlink r:id="R3285cbf924794fbf" w:history="1">
                    <w:r>
                      <w:rPr>
                        <w:rStyle w:val="Hyperlink"/>
                        <w:rFonts w:ascii="Georgia" w:hAnsi="Georgia" w:cs="Georgia"/>
                        <w:sz w:val="24"/>
                        <w:szCs w:val="24"/>
                      </w:rPr>
                      <w:t>Private Equity</w:t>
                    </w:r>
                  </w:hyperlink>
                </w:p>
              </w:tc>
            </w:tr>
            <w:tr>
              <w:tc>
                <w:tcPr>
                  <w:tcW w:w="3686.4" w:type="dxa"/>
                </w:tcPr>
                <w:p>
                  <w:pPr>
                    <w:spacing w:after="220"/>
                  </w:pPr>
                  <w:hyperlink r:id="Rb8306aa2ea964d80" w:history="1">
                    <w:r>
                      <w:rPr>
                        <w:rStyle w:val="Hyperlink"/>
                        <w:rFonts w:ascii="Georgia" w:hAnsi="Georgia" w:cs="Georgia"/>
                        <w:sz w:val="24"/>
                        <w:szCs w:val="24"/>
                      </w:rPr>
                      <w:t>Venture Capital and Emerging Companies</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ba4aea16ed264e7b" w:history="1">
                    <w:r>
                      <w:rPr>
                        <w:rStyle w:val="Hyperlink"/>
                        <w:rFonts w:ascii="Georgia" w:hAnsi="Georgia" w:cs="Georgia"/>
                        <w:sz w:val="24"/>
                        <w:szCs w:val="24"/>
                      </w:rPr>
                      <w:t>Sports, Media and Entertainment</w:t>
                    </w:r>
                  </w:hyperlink>
                </w:p>
              </w:tc>
            </w:tr>
            <w:tr>
              <w:tc>
                <w:tcPr>
                  <w:tcW w:w="3686.4" w:type="dxa"/>
                </w:tcPr>
                <w:p>
                  <w:pPr>
                    <w:spacing w:after="220"/>
                  </w:pPr>
                  <w:hyperlink r:id="Ra57b0b9343184497" w:history="1">
                    <w:r>
                      <w:rPr>
                        <w:rStyle w:val="Hyperlink"/>
                        <w:rFonts w:ascii="Georgia" w:hAnsi="Georgia" w:cs="Georgia"/>
                        <w:sz w:val="24"/>
                        <w:szCs w:val="24"/>
                      </w:rPr>
                      <w:t>Technology</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3578a70a8d7f45ad" w:history="1">
                    <w:r>
                      <w:rPr>
                        <w:rStyle w:val="Hyperlink"/>
                        <w:rFonts w:ascii="Georgia" w:hAnsi="Georgia" w:cs="Georgia"/>
                        <w:sz w:val="24"/>
                        <w:szCs w:val="24"/>
                      </w:rPr>
                      <w:t>Media and Entertainment</w:t>
                    </w:r>
                  </w:hyperlink>
                </w:p>
              </w:tc>
            </w:tr>
            <w:tr>
              <w:tc>
                <w:tcPr>
                  <w:tcW w:w="3686.4" w:type="dxa"/>
                </w:tcPr>
                <w:p>
                  <w:pPr>
                    <w:spacing w:after="220"/>
                  </w:pPr>
                  <w:hyperlink r:id="R5153b723b6d14a2d" w:history="1">
                    <w:r>
                      <w:rPr>
                        <w:rStyle w:val="Hyperlink"/>
                        <w:rFonts w:ascii="Georgia" w:hAnsi="Georgia" w:cs="Georgia"/>
                        <w:sz w:val="24"/>
                        <w:szCs w:val="24"/>
                      </w:rPr>
                      <w:t>Corporate and Commercial Transactions</w:t>
                    </w:r>
                  </w:hyperlink>
                </w:p>
              </w:tc>
            </w:tr>
            <w:tr>
              <w:tc>
                <w:tcPr>
                  <w:tcW w:w="3686.4" w:type="dxa"/>
                </w:tcPr>
                <w:p>
                  <w:pPr>
                    <w:spacing w:after="220"/>
                  </w:pPr>
                  <w:hyperlink r:id="R010b72f8086d4bc7" w:history="1">
                    <w:r>
                      <w:rPr>
                        <w:rStyle w:val="Hyperlink"/>
                        <w:rFonts w:ascii="Georgia" w:hAnsi="Georgia" w:cs="Georgia"/>
                        <w:sz w:val="24"/>
                        <w:szCs w:val="24"/>
                      </w:rPr>
                      <w:t>Private Equity and Venture Capital Funds</w:t>
                    </w:r>
                  </w:hyperlink>
                </w:p>
              </w:tc>
            </w:tr>
            <w:tr>
              <w:tc>
                <w:tcPr>
                  <w:tcW w:w="3686.4" w:type="dxa"/>
                </w:tcPr>
                <w:p>
                  <w:pPr>
                    <w:spacing w:after="220"/>
                  </w:pPr>
                  <w:hyperlink r:id="R5153b723b6d14a2d" w:history="1">
                    <w:r>
                      <w:rPr>
                        <w:rStyle w:val="Hyperlink"/>
                        <w:rFonts w:ascii="Georgia" w:hAnsi="Georgia" w:cs="Georgia"/>
                        <w:sz w:val="24"/>
                        <w:szCs w:val="24"/>
                      </w:rPr>
                      <w:t>Transaction and Securities Disclosure Support and Due Diligence</w:t>
                    </w:r>
                  </w:hyperlink>
                </w:p>
              </w:tc>
            </w:tr>
            <w:tr>
              <w:tc>
                <w:tcPr>
                  <w:tcW w:w="3686.4" w:type="dxa"/>
                </w:tcPr>
                <w:p>
                  <w:pPr>
                    <w:spacing w:after="220"/>
                  </w:pPr>
                  <w:hyperlink r:id="R5608a6df339d49bd" w:history="1">
                    <w:r>
                      <w:rPr>
                        <w:rStyle w:val="Hyperlink"/>
                        <w:rFonts w:ascii="Georgia" w:hAnsi="Georgia" w:cs="Georgia"/>
                        <w:sz w:val="24"/>
                        <w:szCs w:val="24"/>
                      </w:rPr>
                      <w:t>Sports</w:t>
                    </w:r>
                  </w:hyperlink>
                </w:p>
              </w:tc>
            </w:tr>
            <w:tr>
              <w:tc>
                <w:tcPr>
                  <w:tcW w:w="3686.4" w:type="dxa"/>
                </w:tcPr>
                <w:p>
                  <w:pPr>
                    <w:spacing w:after="220"/>
                  </w:pPr>
                  <w:hyperlink r:id="Re279b2cfff2b46f7" w:history="1">
                    <w:r>
                      <w:rPr>
                        <w:rStyle w:val="Hyperlink"/>
                        <w:rFonts w:ascii="Georgia" w:hAnsi="Georgia" w:cs="Georgia"/>
                        <w:sz w:val="24"/>
                        <w:szCs w:val="24"/>
                      </w:rPr>
                      <w:t>Financial Venture Capital Investors</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J.D., Duke University School of Law, Cum Laude, 2023</w:t>
                  </w:r>
                </w:p>
              </w:tc>
            </w:tr>
            <w:tr>
              <w:tc>
                <w:tcPr>
                  <w:tcW w:w="3686.4" w:type="dxa"/>
                </w:tcPr>
                <w:p>
                  <w:pPr>
                    <w:spacing w:after="220"/>
                  </w:pPr>
                  <w:r>
                    <w:rPr>
                      <w:lang w:val="en-US"/>
                      <w:rFonts w:ascii="Georgia" w:hAnsi="Georgia" w:cs="Georgia"/>
                      <w:u w:val="none"/>
                      <w:sz w:val="24"/>
                      <w:szCs w:val="24"/>
                      <w:color w:val="000000"/>
                    </w:rPr>
                    <w:t>B.A., Duke University, 2018</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New York</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373b2af5-77b2-4d2a-b0b2-4642cd8a2d22.jpeg" Id="R0e4766d3ddd74263" /><Relationship Type="http://schemas.openxmlformats.org/officeDocument/2006/relationships/hyperlink" Target="mailto:david.duquette@hoganlovells.com" TargetMode="External" Id="R0ead6c7828e546c2" /><Relationship Type="http://schemas.openxmlformats.org/officeDocument/2006/relationships/hyperlink" Target="https://mc-7c5ead77-4153-4f21-9a29-b0c7-cm.azurewebsites.net//en/service/mergers-and-acquisitions" TargetMode="External" Id="Rbf685da2c4344183" /><Relationship Type="http://schemas.openxmlformats.org/officeDocument/2006/relationships/hyperlink" Target="https://mc-7c5ead77-4153-4f21-9a29-b0c7-cm.azurewebsites.net//en/service/joint-ventures" TargetMode="External" Id="R4b3812e446d54942" /><Relationship Type="http://schemas.openxmlformats.org/officeDocument/2006/relationships/hyperlink" Target="https://mc-7c5ead77-4153-4f21-9a29-b0c7-cm.azurewebsites.net//en/service/private-equity" TargetMode="External" Id="R3285cbf924794fbf" /><Relationship Type="http://schemas.openxmlformats.org/officeDocument/2006/relationships/hyperlink" Target="https://mc-7c5ead77-4153-4f21-9a29-b0c7-cm.azurewebsites.net//en/service/venture-capital-and-emerging-companies" TargetMode="External" Id="Rb8306aa2ea964d80" /><Relationship Type="http://schemas.openxmlformats.org/officeDocument/2006/relationships/hyperlink" Target="https://mc-7c5ead77-4153-4f21-9a29-b0c7-cm.azurewebsites.net//en/sector/sports-media-and-entertainment" TargetMode="External" Id="Rba4aea16ed264e7b" /><Relationship Type="http://schemas.openxmlformats.org/officeDocument/2006/relationships/hyperlink" Target="https://mc-7c5ead77-4153-4f21-9a29-b0c7-cm.azurewebsites.net//en/sector/technology" TargetMode="External" Id="Ra57b0b9343184497" /><Relationship Type="http://schemas.openxmlformats.org/officeDocument/2006/relationships/hyperlink" Target="https://mc-7c5ead77-4153-4f21-9a29-b0c7-cm.azurewebsites.net//en/aof/media-and-entertainment" TargetMode="External" Id="R3578a70a8d7f45ad" /><Relationship Type="http://schemas.openxmlformats.org/officeDocument/2006/relationships/hyperlink" Target="https://mc-7c5ead77-4153-4f21-9a29-b0c7-cm.azurewebsites.net/https://www.hoganlovells.com/en/capabilities/practice-category-group/global-regulatory" TargetMode="External" Id="R5153b723b6d14a2d" /><Relationship Type="http://schemas.openxmlformats.org/officeDocument/2006/relationships/hyperlink" Target="https://mc-7c5ead77-4153-4f21-9a29-b0c7-cm.azurewebsites.net//en/aof/private-equity-and-venture-capital" TargetMode="External" Id="R010b72f8086d4bc7" /><Relationship Type="http://schemas.openxmlformats.org/officeDocument/2006/relationships/hyperlink" Target="https://mc-7c5ead77-4153-4f21-9a29-b0c7-cm.azurewebsites.net//en/aof/sports" TargetMode="External" Id="R5608a6df339d49bd" /><Relationship Type="http://schemas.openxmlformats.org/officeDocument/2006/relationships/hyperlink" Target="https://mc-7c5ead77-4153-4f21-9a29-b0c7-cm.azurewebsites.net//en/aof/financial-venture-capital-investors" TargetMode="External" Id="Re279b2cfff2b46f7"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