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Amy Crowe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Senior Associate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Singapore
</w:t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5_Biography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Biography</w:t>
                  </w:r>
                </w:p>
              </w:tc>
            </w:tr>
          </w:tbl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6_BiographyContent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Amy is a senior associate in the Restructuring &amp; Special Situations practice in London. 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Amy advises private credit funds, special situation investors, banks and insolvency practitioners on domestic and cross-border restructuring matters, including stressed and distressed financings, liability management exercises, restructurings and formal insolvency processes. 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Her work regularly involves complex stakeholder management, multi-jurisdictional structures and the use of English restructuring tools, including restructuring plans, schemes of arrangement and administration processes. 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Amy also spent time in the firm's private capital team in Singapore, advising sponsors and banks on their investments across Asia-Pacific. </w:t>
                  </w:r>
                  <w:r>
                    <w:br/>
                  </w:r>
                </w:p>
              </w:tc>
            </w:tr>
          </w:tbl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Representative experience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 debt fund on the refinancing of Fortenova group's €1.2bn existing facilities via a secured private note issuance.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Acting for Class B creditors with c. £1bn of bond and loan exposure in relation to the second restructuring plan proposed by Thames Water.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Acting for administrators in the €385m restructuring of the foreign exchange firm Travelex.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lenders on a major balance sheet restructure for the Equiom group, a global professional services provider, regulated in more than ten jurisdictions.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lenders in relation to the successful restructuring of the Interserve Group.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the security agent in relation to the pre-pack sale and balance sheet restructuring of the Matalan group. 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 private equity firm on its acquisition of a controlling stake in one of the leading hospitals in Cambodia.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 confidential client on its acquisition of a Philippines e-payment services company.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British International Investment on USD 75 million financing to advance renewable energy projects in India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05 November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Sojitz Corporation on its acquisition of ownership of Royal Healthcare Pte. Ltd.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23 May 2025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12ed37766726416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+65 8468 8605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+65 6538 7077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8c6e935cc2114421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amy.crowe@hoganlovells.com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1_Languages"/>
            </w:tblPr>
            <w:tblGrid>
              <w:gridCol w:w="3684"/>
            </w:tblGrid>
            <w:tr w:rsidR="004A1494" w:rsidTr="00B67200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Languages</w: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2_Languag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English</w:t>
                  </w:r>
                </w:p>
              </w:tc>
            </w:tr>
          </w:tbl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tbl>
            <w:tblPr>
              <w:tblStyle w:val="TableGrid"/>
              <w:tblW w:w="3730" w:type="dxa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3_border2"/>
            </w:tblPr>
            <w:tblGrid>
              <w:gridCol w:w="3730"/>
            </w:tblGrid>
            <w:tr w:rsidR="00423DCE" w:rsidTr="007007D0">
              <w:trPr>
                <w:trHeight w:val="253"/>
              </w:trPr>
              <w:tc>
                <w:tcPr>
                  <w:tcW w:w="3730" w:type="dxa"/>
                </w:tcPr>
                <w:p w:rsidR="00423DCE" w:rsidRDefault="00423DCE">
                  <w:pPr>
                    <w:rPr>
                      <w:sz w:val="20"/>
                      <w:szCs w:val="20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 wp14:anchorId="0D3DFF00" wp14:editId="1E6C5FB2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59056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15" name="Straight Connector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FA7A1E" id="Straight Connector 1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4.65pt" to="174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7007D0" w:rsidRDefault="00D66ED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4_Practices"/>
            </w:tblPr>
            <w:tblGrid>
              <w:gridCol w:w="3577"/>
            </w:tblGrid>
            <w:tr w:rsidR="00B67200" w:rsidTr="00B67200">
              <w:tc>
                <w:tcPr>
                  <w:tcW w:w="3577" w:type="dxa"/>
                </w:tcPr>
                <w:p w:rsidR="00B67200" w:rsidRPr="00B67200" w:rsidRDefault="00B67200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Practices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5_Practic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b19dde3c947c45c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Mergers and Acquisitions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49d8785dbc044f23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Private Equity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86a6d718988a4132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Restructuring and Special Situations</w:t>
                    </w:r>
                  </w:hyperlink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6_border3"/>
            </w:tblPr>
            <w:tblGrid>
              <w:gridCol w:w="3686"/>
            </w:tblGrid>
            <w:tr w:rsidR="00D66ED7" w:rsidTr="00FE240B">
              <w:trPr>
                <w:trHeight w:val="158"/>
              </w:trPr>
              <w:tc>
                <w:tcPr>
                  <w:tcW w:w="3684" w:type="dxa"/>
                </w:tcPr>
                <w:p w:rsidR="00D66ED7" w:rsidRPr="003D3503" w:rsidRDefault="008967D7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BFDA33" wp14:editId="4622D3E2">
                            <wp:simplePos x="0" y="0"/>
                            <wp:positionH relativeFrom="column">
                              <wp:posOffset>6349</wp:posOffset>
                            </wp:positionH>
                            <wp:positionV relativeFrom="paragraph">
                              <wp:posOffset>69851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5E1E6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5.5pt" to="17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0B7E44" w:rsidRDefault="000B7E44">
            <w:pPr>
              <w:rPr>
                <w:sz w:val="4"/>
                <w:szCs w:val="4"/>
              </w:rPr>
            </w:pPr>
          </w:p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 and admissions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LPC, BPP University, 2018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GDL, BPP University, 2017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BA History and Politics, University of Warwick, 2016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0_Bar admissions and qualifications"/>
            </w:tblPr>
            <w:tblGrid>
              <w:gridCol w:w="3684"/>
            </w:tblGrid>
            <w:tr w:rsidR="0079721B" w:rsidTr="003A43D4">
              <w:trPr>
                <w:trHeight w:val="199"/>
              </w:trPr>
              <w:tc>
                <w:tcPr>
                  <w:tcW w:w="3684" w:type="dxa"/>
                </w:tcPr>
                <w:p w:rsidR="0079721B" w:rsidRPr="00E2312E" w:rsidRDefault="0079721B" w:rsidP="0079721B">
                  <w:pPr>
                    <w:rPr>
                      <w:color w:val="58A618"/>
                      <w:sz w:val="44"/>
                      <w:szCs w:val="44"/>
                    </w:rPr>
                  </w:pPr>
                  <w:bookmarkStart w:id="2" w:name="_GoBack"/>
                  <w:bookmarkEnd w:id="2"/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Bar admissions and qualifications</w:t>
                  </w:r>
                </w:p>
              </w:tc>
            </w:tr>
          </w:tbl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1_Baradmission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Solicitor, England and Wales</w:t>
                  </w:r>
                </w:p>
              </w:tc>
            </w:tr>
          </w:tbl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2_border8"/>
            </w:tblPr>
            <w:tblGrid>
              <w:gridCol w:w="3686"/>
            </w:tblGrid>
            <w:tr w:rsidR="00623210" w:rsidTr="00FE240B">
              <w:trPr>
                <w:trHeight w:val="158"/>
              </w:trPr>
              <w:tc>
                <w:tcPr>
                  <w:tcW w:w="3684" w:type="dxa"/>
                </w:tcPr>
                <w:p w:rsidR="00623210" w:rsidRPr="00D932FF" w:rsidRDefault="00623210" w:rsidP="0062321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3348DBEB" wp14:editId="0D29A84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38101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4" name="Straight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455E4C" id="Straight Connector 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pt" to="173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1A7332" w:rsidRDefault="0084454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3_Court admissions"/>
            </w:tblPr>
            <w:tblGrid>
              <w:gridCol w:w="3684"/>
            </w:tblGrid>
            <w:tr w:rsidR="0079721B" w:rsidTr="003A43D4">
              <w:trPr>
                <w:trHeight w:val="413"/>
              </w:trPr>
              <w:tc>
                <w:tcPr>
                  <w:tcW w:w="3684" w:type="dxa"/>
                </w:tcPr>
                <w:p w:rsidR="0079721B" w:rsidRPr="00F90870" w:rsidRDefault="0079721B" w:rsidP="0079721B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Court admissions</w:t>
                  </w:r>
                </w:p>
              </w:tc>
            </w:tr>
          </w:tbl>
          <w:p w:rsidR="004A1494" w:rsidRPr="001A7332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4_Courtadmission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England and Wales</w:t>
                  </w:r>
                </w:p>
              </w:tc>
            </w:tr>
          </w:tbl>
          <w:p w:rsidR="00BF719B" w:rsidRDefault="00BF719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5_border9"/>
            </w:tblPr>
            <w:tblGrid>
              <w:gridCol w:w="3684"/>
            </w:tblGrid>
            <w:tr w:rsidR="00BF719B" w:rsidRPr="00B412BC" w:rsidTr="00FE240B">
              <w:trPr>
                <w:trHeight w:val="158"/>
              </w:trPr>
              <w:tc>
                <w:tcPr>
                  <w:tcW w:w="3684" w:type="dxa"/>
                </w:tcPr>
                <w:p w:rsidR="00BF719B" w:rsidRPr="00B412BC" w:rsidRDefault="00BF719B">
                  <w:pPr>
                    <w:rPr>
                      <w:sz w:val="16"/>
                      <w:szCs w:val="16"/>
                    </w:rPr>
                  </w:pPr>
                  <w:r w:rsidRPr="00B412BC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5104" behindDoc="0" locked="0" layoutInCell="1" allowOverlap="1" wp14:anchorId="122A7B53" wp14:editId="02C9E178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77470</wp:posOffset>
                            </wp:positionV>
                            <wp:extent cx="2238375" cy="0"/>
                            <wp:effectExtent l="0" t="0" r="28575" b="19050"/>
                            <wp:wrapNone/>
                            <wp:docPr id="14" name="Straight Connector 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383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78B2609" id="Straight Connector 14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6.1pt" to="175.2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b4b1c299-e490-43b9-b69d-f3d883c35850.jpeg" Id="R12ed377667264169" /><Relationship Type="http://schemas.openxmlformats.org/officeDocument/2006/relationships/hyperlink" Target="mailto:amy.crowe@hoganlovells.com" TargetMode="External" Id="R8c6e935cc2114421" /><Relationship Type="http://schemas.openxmlformats.org/officeDocument/2006/relationships/hyperlink" Target="https://mc-7c5ead77-4153-4f21-9a29-b0c7-cm.azurewebsites.net//en/service/mergers-and-acquisitions" TargetMode="External" Id="Rb19dde3c947c45c6" /><Relationship Type="http://schemas.openxmlformats.org/officeDocument/2006/relationships/hyperlink" Target="https://mc-7c5ead77-4153-4f21-9a29-b0c7-cm.azurewebsites.net//en/service/private-equity" TargetMode="External" Id="R49d8785dbc044f23" /><Relationship Type="http://schemas.openxmlformats.org/officeDocument/2006/relationships/hyperlink" Target="https://mc-7c5ead77-4153-4f21-9a29-b0c7-cm.azurewebsites.net//en/service/restructuring-and-special-situations" TargetMode="External" Id="R86a6d718988a4132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