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Alessandro Borrello</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Partner</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Milan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Praised by clients for his clear advice, efficiency and high speed, Alessandro Borrello is a key member of the Litigation, Investigations, White Collar &amp; Fraud team in Italy.  </w:t>
                  </w:r>
                  <w:r>
                    <w:br/>
                  </w:r>
                </w:p>
                <w:p>
                  <w:pPr>
                    <w:spacing w:line="276"/>
                  </w:pPr>
                  <w:r>
                    <w:rPr>
                      <w:rFonts w:ascii="Georgia" w:hAnsi="Georgia" w:cs="Georgia"/>
                      <w:sz w:val="24"/>
                      <w:szCs w:val="24"/>
                    </w:rPr>
                    <w:t>Alessandro's practice is mainly focused on dispute resolution and internal investigations, across various industry sectors.</w:t>
                  </w:r>
                  <w:r>
                    <w:br/>
                  </w:r>
                </w:p>
                <w:p>
                  <w:pPr>
                    <w:spacing w:line="276"/>
                  </w:pPr>
                  <w:r>
                    <w:rPr>
                      <w:rFonts w:ascii="Georgia" w:hAnsi="Georgia" w:cs="Georgia"/>
                      <w:sz w:val="24"/>
                      <w:szCs w:val="24"/>
                    </w:rPr>
                    <w:t>Alessandro counsels leading multinationals and primary Italian companies on a wide range of commercial disputes before Italian courts, spanning from product liability cases to contractual claims and private estate litigation. </w:t>
                  </w:r>
                  <w:r>
                    <w:br/>
                  </w:r>
                </w:p>
                <w:p>
                  <w:pPr>
                    <w:spacing w:line="276"/>
                  </w:pPr>
                  <w:r>
                    <w:rPr>
                      <w:rFonts w:ascii="Georgia" w:hAnsi="Georgia" w:cs="Georgia"/>
                      <w:sz w:val="24"/>
                      <w:szCs w:val="24"/>
                    </w:rPr>
                    <w:t>With a dynamic and business-oriented spirit, Alessandro works with clients to ensure that they address litigation equipped with the most suitable and strongest defence solutions, and this contributes to his remarkable winning scores in court cases. In addition, he often deals with complex multi-party claims, which he is very talented in converting into favourable settlement solutions.</w:t>
                  </w:r>
                  <w:r>
                    <w:br/>
                  </w:r>
                </w:p>
                <w:p>
                  <w:pPr>
                    <w:spacing w:line="276"/>
                  </w:pPr>
                  <w:r>
                    <w:rPr>
                      <w:rFonts w:ascii="Georgia" w:hAnsi="Georgia" w:cs="Georgia"/>
                      <w:sz w:val="24"/>
                      <w:szCs w:val="24"/>
                    </w:rPr>
                    <w:t>With more than 10 years of experience, he also handles complex internal investigations on a vast variety of potential misconducts and is the go-to lawyer in case of a whistleblower's report. His matters are often connected to alleged violations of FCPA, UK Bribery Act and similar legislation. </w:t>
                  </w:r>
                  <w:r>
                    <w:br/>
                  </w:r>
                </w:p>
                <w:p>
                  <w:pPr>
                    <w:spacing w:line="276"/>
                  </w:pPr>
                  <w:r>
                    <w:rPr>
                      <w:rFonts w:ascii="Georgia" w:hAnsi="Georgia" w:cs="Georgia"/>
                      <w:sz w:val="24"/>
                      <w:szCs w:val="24"/>
                    </w:rPr>
                    <w:t>Moreover, Alessandro provides targeted advice on compliance measures and risk mitigation solutions and advises clients on the creation and implementation of compliance programs and whistleblowing systems required by Italian law.</w:t>
                  </w:r>
                  <w:r>
                    <w:br/>
                  </w:r>
                </w:p>
                <w:p>
                  <w:pPr>
                    <w:spacing w:line="276"/>
                  </w:pPr>
                  <w:r>
                    <w:rPr>
                      <w:rFonts w:ascii="Georgia" w:hAnsi="Georgia" w:cs="Georgia"/>
                      <w:sz w:val="24"/>
                      <w:szCs w:val="24"/>
                    </w:rPr>
                    <w:t>Alessandro is constantly recognized by Chambers &amp; Partners as a leading lawyer in Dispute Resolution and clients praised him as an excellent lawyer “who is always ready to help, with deep technical knowledge and superb commercial awareness". </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Representative experience</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en-US"/>
                      <w:rFonts w:ascii="Georgia" w:hAnsi="Georgia" w:cs="Georgia"/>
                      <w:u w:val="none"/>
                      <w:sz w:val="24"/>
                      <w:szCs w:val="24"/>
                      <w:color w:val="000000"/>
                    </w:rPr>
                    <w:t>Assistance to companies from various industry sectors in implementing whistleblowing systems compliant with EU Directive no. 2019/1937 and Italian Legislative Decree no. 24/2023</w:t>
                  </w:r>
                  <w:r>
                    <w:rPr>
                      <w:lang w:val="en-US"/>
                      <w:u w:val="none"/>
                    </w:rPr>
                    <w:br/>
                  </w:r>
                  <w:r>
                    <w:rPr>
                      <w:lang w:val="en-US"/>
                      <w:u w:val="none"/>
                    </w:rPr>
                    <w:br/>
                  </w:r>
                  <w:r>
                    <w:rPr>
                      <w:lang w:val="en-US"/>
                      <w:rFonts w:ascii="Georgia" w:hAnsi="Georgia" w:cs="Georgia"/>
                      <w:u w:val="none"/>
                      <w:sz w:val="24"/>
                      <w:szCs w:val="24"/>
                      <w:color w:val="000000"/>
                    </w:rPr>
                    <w:t>Assistance to a Fortune 500 IT corporation in an over €40 million contractual claim litigation before the Court of Milan</w:t>
                  </w:r>
                  <w:r>
                    <w:rPr>
                      <w:lang w:val="en-US"/>
                      <w:u w:val="none"/>
                    </w:rPr>
                    <w:br/>
                  </w:r>
                  <w:r>
                    <w:rPr>
                      <w:lang w:val="en-US"/>
                      <w:u w:val="none"/>
                    </w:rPr>
                    <w:br/>
                  </w:r>
                  <w:r>
                    <w:rPr>
                      <w:lang w:val="en-US"/>
                      <w:rFonts w:ascii="Georgia" w:hAnsi="Georgia" w:cs="Georgia"/>
                      <w:u w:val="none"/>
                      <w:sz w:val="24"/>
                      <w:szCs w:val="24"/>
                      <w:color w:val="000000"/>
                    </w:rPr>
                    <w:t>Assistance to a governmental entity in the enforcement of bank guarantees for over €300 million issued in the context of a contract for the supply of helicopters</w:t>
                  </w:r>
                  <w:r>
                    <w:rPr>
                      <w:lang w:val="en-US"/>
                      <w:u w:val="none"/>
                    </w:rPr>
                    <w:br/>
                  </w:r>
                  <w:r>
                    <w:rPr>
                      <w:lang w:val="en-US"/>
                      <w:u w:val="none"/>
                    </w:rPr>
                    <w:br/>
                  </w:r>
                  <w:r>
                    <w:rPr>
                      <w:lang w:val="en-US"/>
                      <w:rFonts w:ascii="Georgia" w:hAnsi="Georgia" w:cs="Georgia"/>
                      <w:u w:val="none"/>
                      <w:sz w:val="24"/>
                      <w:szCs w:val="24"/>
                      <w:color w:val="000000"/>
                    </w:rPr>
                    <w:t>Assistance to a US University in a landmark litigation over ownership of an estate in Italy</w:t>
                  </w:r>
                  <w:r>
                    <w:rPr>
                      <w:lang w:val="en-US"/>
                      <w:u w:val="none"/>
                    </w:rPr>
                    <w:br/>
                  </w:r>
                  <w:r>
                    <w:rPr>
                      <w:lang w:val="en-US"/>
                      <w:u w:val="none"/>
                    </w:rPr>
                    <w:br/>
                  </w:r>
                  <w:r>
                    <w:rPr>
                      <w:lang w:val="en-US"/>
                      <w:rFonts w:ascii="Georgia" w:hAnsi="Georgia" w:cs="Georgia"/>
                      <w:u w:val="none"/>
                      <w:sz w:val="24"/>
                      <w:szCs w:val="24"/>
                      <w:color w:val="000000"/>
                    </w:rPr>
                    <w:t>Assistance to a global leader in railway infrastructures in a complex litigation related to construction of Italian high-speed rail system</w:t>
                  </w:r>
                  <w:r>
                    <w:rPr>
                      <w:lang w:val="en-US"/>
                      <w:u w:val="none"/>
                    </w:rPr>
                    <w:br/>
                  </w:r>
                  <w:r>
                    <w:rPr>
                      <w:lang w:val="en-US"/>
                      <w:u w:val="none"/>
                    </w:rPr>
                    <w:br/>
                  </w:r>
                  <w:r>
                    <w:rPr>
                      <w:lang w:val="en-US"/>
                      <w:rFonts w:ascii="Georgia" w:hAnsi="Georgia" w:cs="Georgia"/>
                      <w:u w:val="none"/>
                      <w:sz w:val="24"/>
                      <w:szCs w:val="24"/>
                      <w:color w:val="000000"/>
                    </w:rPr>
                    <w:t>Assistance to several clients in the life sciences industry in abiding by compliance improvement obligations and preparing for visits by the US DOJ officers </w:t>
                  </w:r>
                  <w:r>
                    <w:rPr>
                      <w:lang w:val="en-US"/>
                      <w:u w:val="none"/>
                    </w:rPr>
                    <w:br/>
                  </w:r>
                  <w:r>
                    <w:rPr>
                      <w:lang w:val="en-US"/>
                      <w:u w:val="none"/>
                    </w:rPr>
                    <w:br/>
                  </w:r>
                  <w:r>
                    <w:rPr>
                      <w:lang w:val="en-US"/>
                      <w:rFonts w:ascii="Georgia" w:hAnsi="Georgia" w:cs="Georgia"/>
                      <w:u w:val="none"/>
                      <w:sz w:val="24"/>
                      <w:szCs w:val="24"/>
                      <w:color w:val="000000"/>
                    </w:rPr>
                    <w:t>Assistance to a leading pharmaceutical multinational on defensive strategies in criminal investigations for alleged bribery and corruption offences in relation to no sponsor clinical trial</w:t>
                  </w:r>
                  <w:r>
                    <w:rPr>
                      <w:lang w:val="en-US"/>
                      <w:u w:val="none"/>
                    </w:rPr>
                    <w:br/>
                  </w:r>
                  <w:r>
                    <w:rPr>
                      <w:lang w:val="en-US"/>
                      <w:u w:val="none"/>
                    </w:rPr>
                    <w:br/>
                  </w:r>
                  <w:r>
                    <w:rPr>
                      <w:lang w:val="en-US"/>
                      <w:rFonts w:ascii="Georgia" w:hAnsi="Georgia" w:cs="Georgia"/>
                      <w:u w:val="none"/>
                      <w:sz w:val="24"/>
                      <w:szCs w:val="24"/>
                      <w:color w:val="000000"/>
                    </w:rPr>
                    <w:t>Assistance to a multinational pharmaceutical company with internal investigations on the invoicing and payment processes of the Italian subsidiary</w:t>
                  </w:r>
                  <w:r>
                    <w:rPr>
                      <w:lang w:val="en-US"/>
                      <w:u w:val="none"/>
                    </w:rPr>
                    <w:br/>
                  </w:r>
                  <w:r>
                    <w:rPr>
                      <w:lang w:val="en-US"/>
                      <w:u w:val="none"/>
                    </w:rPr>
                    <w:br/>
                  </w:r>
                  <w:r>
                    <w:rPr>
                      <w:lang w:val="en-US"/>
                      <w:rFonts w:ascii="Georgia" w:hAnsi="Georgia" w:cs="Georgia"/>
                      <w:u w:val="none"/>
                      <w:sz w:val="24"/>
                      <w:szCs w:val="24"/>
                      <w:color w:val="000000"/>
                    </w:rPr>
                    <w:t>Assistance to a leading company in the wind energy industry against a high-stake claim brought by a former commercial partner over alleged pre-contractual liability</w:t>
                  </w:r>
                </w:p>
              </w:tc>
            </w:tr>
          </w:tbl>
          <w:p w:rsidR="004A1494"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9_Awards and ranking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Awards and rankings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0_AwardsandrankingsList"/>
            </w:tblPr>
            <w:tblGrid>
              <w:gridCol w:w="5841"/>
            </w:tblGrid>
            <w:tr>
              <w:tc>
                <w:tcPr>
                  <w:tcW w:w="5846.4" w:type="dxa"/>
                </w:tcPr>
                <w:p>
                  <w:pPr/>
                </w:p>
                <w:p>
                  <w:pPr>
                    <w:numPr>
                      <w:ilvl w:val="0"/>
                      <w:numId w:val="4"/>
                    </w:numPr>
                    <w:spacing w:after="0"/>
                  </w:pPr>
                  <w:r>
                    <w:rPr>
                      <w:rFonts w:ascii="Georgia" w:hAnsi="Georgia" w:cs="Georgia"/>
                      <w:sz w:val="24"/>
                      <w:szCs w:val="24"/>
                    </w:rPr>
                    <w:t xml:space="preserve">Dispute Resolution (Italy), Up and Coming, </w:t>
                  </w:r>
                  <w:r>
                    <w:rPr>
                      <w:lang w:val="en-US"/>
                      <w:rFonts w:ascii="Georgia" w:hAnsi="Georgia" w:cs="Georgia"/>
                      <w:i/>
                      <w:u w:val="none"/>
                      <w:sz w:val="24"/>
                      <w:szCs w:val="24"/>
                      <w:color w:val="000000"/>
                    </w:rPr>
                    <w:t>Chambers Global</w:t>
                  </w:r>
                  <w:r>
                    <w:rPr>
                      <w:rFonts w:ascii="Georgia" w:hAnsi="Georgia" w:cs="Georgia"/>
                      <w:sz w:val="24"/>
                      <w:szCs w:val="24"/>
                    </w:rPr>
                    <w:t>, 2025</w:t>
                  </w:r>
                </w:p>
              </w:tc>
            </w:tr>
            <w:tr>
              <w:tc>
                <w:tcPr>
                  <w:tcW w:w="5846.4" w:type="dxa"/>
                </w:tcPr>
                <w:p>
                  <w:pPr/>
                </w:p>
                <w:p>
                  <w:pPr>
                    <w:numPr>
                      <w:ilvl w:val="0"/>
                      <w:numId w:val="5"/>
                    </w:numPr>
                    <w:spacing w:after="0"/>
                  </w:pPr>
                  <w:r>
                    <w:rPr>
                      <w:rFonts w:ascii="Georgia" w:hAnsi="Georgia" w:cs="Georgia"/>
                      <w:sz w:val="24"/>
                      <w:szCs w:val="24"/>
                    </w:rPr>
                    <w:t xml:space="preserve">Dispute Resolution (Italy), Up and Coming, </w:t>
                  </w:r>
                  <w:r>
                    <w:rPr>
                      <w:lang w:val="en-US"/>
                      <w:rFonts w:ascii="Georgia" w:hAnsi="Georgia" w:cs="Georgia"/>
                      <w:i/>
                      <w:u w:val="none"/>
                      <w:sz w:val="24"/>
                      <w:szCs w:val="24"/>
                      <w:color w:val="000000"/>
                    </w:rPr>
                    <w:t>Chambers Europe</w:t>
                  </w:r>
                  <w:r>
                    <w:rPr>
                      <w:rFonts w:ascii="Georgia" w:hAnsi="Georgia" w:cs="Georgia"/>
                      <w:sz w:val="24"/>
                      <w:szCs w:val="24"/>
                    </w:rPr>
                    <w:t>, 2024</w:t>
                  </w:r>
                </w:p>
              </w:tc>
            </w:tr>
            <w:tr>
              <w:tc>
                <w:tcPr>
                  <w:tcW w:w="5846.4" w:type="dxa"/>
                </w:tcPr>
                <w:p>
                  <w:pPr/>
                </w:p>
                <w:p>
                  <w:pPr>
                    <w:numPr>
                      <w:ilvl w:val="0"/>
                      <w:numId w:val="6"/>
                    </w:numPr>
                    <w:spacing w:after="0"/>
                  </w:pPr>
                  <w:r>
                    <w:rPr>
                      <w:rFonts w:ascii="Georgia" w:hAnsi="Georgia" w:cs="Georgia"/>
                      <w:sz w:val="24"/>
                      <w:szCs w:val="24"/>
                    </w:rPr>
                    <w:t xml:space="preserve">Compliance (Italy), Key lawyer, </w:t>
                  </w:r>
                  <w:r>
                    <w:rPr>
                      <w:lang w:val="en-US"/>
                      <w:rFonts w:ascii="Georgia" w:hAnsi="Georgia" w:cs="Georgia"/>
                      <w:i/>
                      <w:u w:val="none"/>
                      <w:sz w:val="24"/>
                      <w:szCs w:val="24"/>
                      <w:color w:val="000000"/>
                    </w:rPr>
                    <w:t>The Legal 500</w:t>
                  </w:r>
                  <w:r>
                    <w:rPr>
                      <w:rFonts w:ascii="Georgia" w:hAnsi="Georgia" w:cs="Georgia"/>
                      <w:sz w:val="24"/>
                      <w:szCs w:val="24"/>
                    </w:rPr>
                    <w:t>, 2024</w:t>
                  </w:r>
                </w:p>
              </w:tc>
            </w:tr>
            <w:tr>
              <w:tc>
                <w:tcPr>
                  <w:tcW w:w="5846.4" w:type="dxa"/>
                </w:tcPr>
                <w:p>
                  <w:pPr/>
                </w:p>
                <w:p>
                  <w:pPr>
                    <w:numPr>
                      <w:ilvl w:val="0"/>
                      <w:numId w:val="7"/>
                    </w:numPr>
                    <w:spacing w:after="0"/>
                  </w:pPr>
                  <w:r>
                    <w:rPr>
                      <w:rFonts w:ascii="Georgia" w:hAnsi="Georgia" w:cs="Georgia"/>
                      <w:sz w:val="24"/>
                      <w:szCs w:val="24"/>
                    </w:rPr>
                    <w:t xml:space="preserve">Dispute Resolution (Italy), Key lawyer, </w:t>
                  </w:r>
                  <w:r>
                    <w:rPr>
                      <w:lang w:val="en-US"/>
                      <w:rFonts w:ascii="Georgia" w:hAnsi="Georgia" w:cs="Georgia"/>
                      <w:i/>
                      <w:u w:val="none"/>
                      <w:sz w:val="24"/>
                      <w:szCs w:val="24"/>
                      <w:color w:val="000000"/>
                    </w:rPr>
                    <w:t>The Legal 500</w:t>
                  </w:r>
                  <w:r>
                    <w:rPr>
                      <w:rFonts w:ascii="Georgia" w:hAnsi="Georgia" w:cs="Georgia"/>
                      <w:sz w:val="24"/>
                      <w:szCs w:val="24"/>
                    </w:rPr>
                    <w:t>, 2023</w:t>
                  </w:r>
                </w:p>
              </w:tc>
            </w:tr>
          </w:tbl>
          <w:p>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Global Bribery, Investigations and Enforcement Outlook 2026</w:t>
                  </w:r>
                  <w:r>
                    <w:rPr>
                      <w:rFonts w:ascii="Georgia" w:hAnsi="Georgia" w:cs="Georgia"/>
                      <w:sz w:val="20"/>
                      <w:szCs w:val="20"/>
                    </w:rPr>
                    <w:br/>
                  </w:r>
                  <w:r>
                    <w:rPr>
                      <w:rFonts w:ascii="Georgia" w:hAnsi="Georgia" w:cs="Georgia"/>
                      <w:sz w:val="20"/>
                      <w:szCs w:val="20"/>
                    </w:rPr>
                    <w:t>13 January 2026</w:t>
                  </w:r>
                </w:p>
              </w:tc>
            </w:tr>
            <w:tr>
              <w:tc>
                <w:tcPr>
                  <w:tcW w:w="5846.4" w:type="dxa"/>
                </w:tcPr>
                <w:p>
                  <w:pPr>
                    <w:spacing w:after="220"/>
                  </w:pPr>
                  <w:r>
                    <w:rPr>
                      <w:lang w:val="en-US"/>
                      <w:rFonts w:ascii="Georgia" w:hAnsi="Georgia" w:cs="Georgia"/>
                      <w:u w:val="none"/>
                      <w:sz w:val="24"/>
                      <w:szCs w:val="24"/>
                      <w:color w:val="58A618"/>
                    </w:rPr>
                    <w:t>Webinar</w:t>
                  </w:r>
                  <w:r>
                    <w:rPr>
                      <w:rFonts w:ascii="Georgia" w:hAnsi="Georgia" w:cs="Georgia"/>
                      <w:sz w:val="24"/>
                      <w:szCs w:val="24"/>
                    </w:rPr>
                    <w:br/>
                  </w:r>
                  <w:r>
                    <w:rPr>
                      <w:rFonts w:ascii="Georgia" w:hAnsi="Georgia" w:cs="Georgia"/>
                      <w:sz w:val="24"/>
                      <w:szCs w:val="24"/>
                    </w:rPr>
                    <w:t>Regional Perspectives for 2026: Global Bribery, Investigations and Enforcement Outlook Webinars</w:t>
                  </w:r>
                  <w:r>
                    <w:rPr>
                      <w:rFonts w:ascii="Georgia" w:hAnsi="Georgia" w:cs="Georgia"/>
                      <w:sz w:val="20"/>
                      <w:szCs w:val="20"/>
                    </w:rPr>
                    <w:br/>
                  </w:r>
                  <w:r>
                    <w:rPr>
                      <w:rFonts w:ascii="Georgia" w:hAnsi="Georgia" w:cs="Georgia"/>
                      <w:sz w:val="20"/>
                      <w:szCs w:val="20"/>
                    </w:rPr>
                    <w:t>13-14 January 2026</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welcomes 2026 with partner and counsel promotions  across the Americas, Europe, and Asia-Pacific</w:t>
                  </w:r>
                  <w:r>
                    <w:rPr>
                      <w:rFonts w:ascii="Georgia" w:hAnsi="Georgia" w:cs="Georgia"/>
                      <w:sz w:val="20"/>
                      <w:szCs w:val="20"/>
                    </w:rPr>
                    <w:br/>
                  </w:r>
                  <w:r>
                    <w:rPr>
                      <w:rFonts w:ascii="Georgia" w:hAnsi="Georgia" w:cs="Georgia"/>
                      <w:sz w:val="20"/>
                      <w:szCs w:val="20"/>
                    </w:rPr>
                    <w:t>06 January 2026</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IPACS guide on the prosecution of bribery in sport</w:t>
                  </w:r>
                  <w:r>
                    <w:rPr>
                      <w:rFonts w:ascii="Georgia" w:hAnsi="Georgia" w:cs="Georgia"/>
                      <w:sz w:val="20"/>
                      <w:szCs w:val="20"/>
                    </w:rPr>
                    <w:br/>
                  </w:r>
                  <w:r>
                    <w:rPr>
                      <w:rFonts w:ascii="Georgia" w:hAnsi="Georgia" w:cs="Georgia"/>
                      <w:sz w:val="20"/>
                      <w:szCs w:val="20"/>
                    </w:rPr>
                    <w:t>18 December 2025</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EU Products Law – 2025/2026 Edition</w:t>
                  </w:r>
                  <w:r>
                    <w:rPr>
                      <w:rFonts w:ascii="Georgia" w:hAnsi="Georgia" w:cs="Georgia"/>
                      <w:sz w:val="20"/>
                      <w:szCs w:val="20"/>
                    </w:rPr>
                    <w:br/>
                  </w:r>
                  <w:r>
                    <w:rPr>
                      <w:rFonts w:ascii="Georgia" w:hAnsi="Georgia" w:cs="Georgia"/>
                      <w:sz w:val="20"/>
                      <w:szCs w:val="20"/>
                    </w:rPr>
                    <w:t>23 May 2025</w:t>
                  </w:r>
                </w:p>
              </w:tc>
            </w:tr>
            <w:tr>
              <w:tc>
                <w:tcPr>
                  <w:tcW w:w="5846.4" w:type="dxa"/>
                </w:tcPr>
                <w:p>
                  <w:pPr>
                    <w:spacing w:after="220"/>
                  </w:pPr>
                  <w:r>
                    <w:rPr>
                      <w:lang w:val="en-US"/>
                      <w:rFonts w:ascii="Georgia" w:hAnsi="Georgia" w:cs="Georgia"/>
                      <w:u w:val="none"/>
                      <w:sz w:val="24"/>
                      <w:szCs w:val="24"/>
                      <w:color w:val="58A618"/>
                    </w:rPr>
                    <w:t>Insights and Analysis</w:t>
                  </w:r>
                  <w:r>
                    <w:rPr>
                      <w:rFonts w:ascii="Georgia" w:hAnsi="Georgia" w:cs="Georgia"/>
                      <w:sz w:val="24"/>
                      <w:szCs w:val="24"/>
                    </w:rPr>
                    <w:br/>
                  </w:r>
                  <w:r>
                    <w:rPr>
                      <w:rFonts w:ascii="Georgia" w:hAnsi="Georgia" w:cs="Georgia"/>
                      <w:sz w:val="24"/>
                      <w:szCs w:val="24"/>
                    </w:rPr>
                    <w:t>Aerospace &amp; Defense Insights | Charting new horizons in space economy: Italy’s progress towards comprehensive Space Law</w:t>
                  </w:r>
                  <w:r>
                    <w:rPr>
                      <w:rFonts w:ascii="Georgia" w:hAnsi="Georgia" w:cs="Georgia"/>
                      <w:sz w:val="20"/>
                      <w:szCs w:val="20"/>
                    </w:rPr>
                    <w:br/>
                  </w:r>
                  <w:r>
                    <w:rPr>
                      <w:rFonts w:ascii="Georgia" w:hAnsi="Georgia" w:cs="Georgia"/>
                      <w:sz w:val="20"/>
                      <w:szCs w:val="20"/>
                    </w:rPr>
                    <w:t>18 July 2024</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00155872d004328"/>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+39 02 720 2521</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+39 02 72025252</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362d295ce9bb49d2" w:history="1">
                    <w:r>
                      <w:rPr>
                        <w:rStyle w:val="Hyperlink"/>
                        <w:rFonts w:ascii="Georgia" w:hAnsi="Georgia" w:cs="Georgia"/>
                        <w:sz w:val="22"/>
                        <w:szCs w:val="22"/>
                        <w:u w:val="none"/>
                      </w:rPr>
                      <w:t>alessandro.borrello@hoganlovells.com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en-US"/>
                      <w:rFonts w:ascii="Calibri" w:hAnsi="Calibri" w:cs="Calibri"/>
                      <w:u w:val="none"/>
                      <w:sz w:val="40"/>
                      <w:szCs w:val="40"/>
                      <w:color w:val="58A618"/>
                    </w:rPr>
                    <w:t>Languages</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en-US"/>
                      <w:rFonts w:ascii="Georgia" w:hAnsi="Georgia" w:cs="Georgia"/>
                      <w:u w:val="none"/>
                      <w:sz w:val="24"/>
                      <w:szCs w:val="24"/>
                      <w:color w:val="000000"/>
                    </w:rPr>
                    <w:t>English</w:t>
                  </w:r>
                </w:p>
              </w:tc>
            </w:tr>
            <w:tr>
              <w:tc>
                <w:tcPr>
                  <w:tcW w:w="3686.4" w:type="dxa"/>
                </w:tcPr>
                <w:p>
                  <w:pPr>
                    <w:spacing w:after="220"/>
                  </w:pPr>
                  <w:r>
                    <w:rPr>
                      <w:lang w:val="en-US"/>
                      <w:rFonts w:ascii="Georgia" w:hAnsi="Georgia" w:cs="Georgia"/>
                      <w:u w:val="none"/>
                      <w:sz w:val="24"/>
                      <w:szCs w:val="24"/>
                      <w:color w:val="000000"/>
                    </w:rPr>
                    <w:t>Italian</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569fb8a70653498a" w:history="1">
                    <w:r>
                      <w:rPr>
                        <w:rStyle w:val="Hyperlink"/>
                        <w:rFonts w:ascii="Georgia" w:hAnsi="Georgia" w:cs="Georgia"/>
                        <w:sz w:val="24"/>
                        <w:szCs w:val="24"/>
                      </w:rPr>
                      <w:t>Litigation Services</w:t>
                    </w:r>
                  </w:hyperlink>
                </w:p>
              </w:tc>
            </w:tr>
            <w:tr>
              <w:tc>
                <w:tcPr>
                  <w:tcW w:w="3686.4" w:type="dxa"/>
                </w:tcPr>
                <w:p>
                  <w:pPr>
                    <w:spacing w:after="220"/>
                  </w:pPr>
                  <w:hyperlink r:id="Rf52ef2a4d3714c21" w:history="1">
                    <w:r>
                      <w:rPr>
                        <w:rStyle w:val="Hyperlink"/>
                        <w:rFonts w:ascii="Georgia" w:hAnsi="Georgia" w:cs="Georgia"/>
                        <w:sz w:val="24"/>
                        <w:szCs w:val="24"/>
                      </w:rPr>
                      <w:t>Investigations, White Collar, and Fraud</w:t>
                    </w:r>
                  </w:hyperlink>
                </w:p>
              </w:tc>
            </w:tr>
            <w:tr>
              <w:tc>
                <w:tcPr>
                  <w:tcW w:w="3686.4" w:type="dxa"/>
                </w:tcPr>
                <w:p>
                  <w:pPr>
                    <w:spacing w:after="220"/>
                  </w:pPr>
                  <w:hyperlink r:id="R4e4dc9bcb43047e4" w:history="1">
                    <w:r>
                      <w:rPr>
                        <w:rStyle w:val="Hyperlink"/>
                        <w:rFonts w:ascii="Georgia" w:hAnsi="Georgia" w:cs="Georgia"/>
                        <w:sz w:val="24"/>
                        <w:szCs w:val="24"/>
                      </w:rPr>
                      <w:t>Corporate and Securities Litigation</w:t>
                    </w:r>
                  </w:hyperlink>
                </w:p>
              </w:tc>
            </w:tr>
            <w:tr>
              <w:tc>
                <w:tcPr>
                  <w:tcW w:w="3686.4" w:type="dxa"/>
                </w:tcPr>
                <w:p>
                  <w:pPr>
                    <w:spacing w:after="220"/>
                  </w:pPr>
                  <w:hyperlink r:id="R91a62cb49cde40d8" w:history="1">
                    <w:r>
                      <w:rPr>
                        <w:rStyle w:val="Hyperlink"/>
                        <w:rFonts w:ascii="Georgia" w:hAnsi="Georgia" w:cs="Georgia"/>
                        <w:sz w:val="24"/>
                        <w:szCs w:val="24"/>
                      </w:rPr>
                      <w:t>Commercial Litigation</w:t>
                    </w:r>
                  </w:hyperlink>
                </w:p>
              </w:tc>
            </w:tr>
            <w:tr>
              <w:tc>
                <w:tcPr>
                  <w:tcW w:w="3686.4" w:type="dxa"/>
                </w:tcPr>
                <w:p>
                  <w:pPr>
                    <w:spacing w:after="220"/>
                  </w:pPr>
                  <w:hyperlink r:id="Rcd3712f8e8004422" w:history="1">
                    <w:r>
                      <w:rPr>
                        <w:rStyle w:val="Hyperlink"/>
                        <w:rFonts w:ascii="Georgia" w:hAnsi="Georgia" w:cs="Georgia"/>
                        <w:sz w:val="24"/>
                        <w:szCs w:val="24"/>
                      </w:rPr>
                      <w:t>Insurance Litigation</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Industries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1e82963eabc749e9" w:history="1">
                    <w:r>
                      <w:rPr>
                        <w:rStyle w:val="Hyperlink"/>
                        <w:rFonts w:ascii="Georgia" w:hAnsi="Georgia" w:cs="Georgia"/>
                        <w:sz w:val="24"/>
                        <w:szCs w:val="24"/>
                      </w:rPr>
                      <w:t>Aerospace and Defense</w:t>
                    </w:r>
                  </w:hyperlink>
                </w:p>
              </w:tc>
            </w:tr>
            <w:tr>
              <w:tc>
                <w:tcPr>
                  <w:tcW w:w="3686.4" w:type="dxa"/>
                </w:tcPr>
                <w:p>
                  <w:pPr>
                    <w:spacing w:after="220"/>
                  </w:pPr>
                  <w:hyperlink r:id="R15b0060f77d34cac" w:history="1">
                    <w:r>
                      <w:rPr>
                        <w:rStyle w:val="Hyperlink"/>
                        <w:rFonts w:ascii="Georgia" w:hAnsi="Georgia" w:cs="Georgia"/>
                        <w:sz w:val="24"/>
                        <w:szCs w:val="24"/>
                      </w:rPr>
                      <w:t>Automotive and Mobility</w:t>
                    </w:r>
                  </w:hyperlink>
                </w:p>
              </w:tc>
            </w:tr>
            <w:tr>
              <w:tc>
                <w:tcPr>
                  <w:tcW w:w="3686.4" w:type="dxa"/>
                </w:tcPr>
                <w:p>
                  <w:pPr>
                    <w:spacing w:after="220"/>
                  </w:pPr>
                  <w:hyperlink r:id="R0f075426298b4683" w:history="1">
                    <w:r>
                      <w:rPr>
                        <w:rStyle w:val="Hyperlink"/>
                        <w:rFonts w:ascii="Georgia" w:hAnsi="Georgia" w:cs="Georgia"/>
                        <w:sz w:val="24"/>
                        <w:szCs w:val="24"/>
                      </w:rPr>
                      <w:t>Consumer</w:t>
                    </w:r>
                  </w:hyperlink>
                </w:p>
              </w:tc>
            </w:tr>
            <w:tr>
              <w:tc>
                <w:tcPr>
                  <w:tcW w:w="3686.4" w:type="dxa"/>
                </w:tcPr>
                <w:p>
                  <w:pPr>
                    <w:spacing w:after="220"/>
                  </w:pPr>
                  <w:hyperlink r:id="R26d5c44799fe4b50" w:history="1">
                    <w:r>
                      <w:rPr>
                        <w:rStyle w:val="Hyperlink"/>
                        <w:rFonts w:ascii="Georgia" w:hAnsi="Georgia" w:cs="Georgia"/>
                        <w:sz w:val="24"/>
                        <w:szCs w:val="24"/>
                      </w:rPr>
                      <w:t>Insurance</w:t>
                    </w:r>
                  </w:hyperlink>
                </w:p>
              </w:tc>
            </w:tr>
            <w:tr>
              <w:tc>
                <w:tcPr>
                  <w:tcW w:w="3686.4" w:type="dxa"/>
                </w:tcPr>
                <w:p>
                  <w:pPr>
                    <w:spacing w:after="220"/>
                  </w:pPr>
                  <w:hyperlink r:id="Ra88be46e8f934e61" w:history="1">
                    <w:r>
                      <w:rPr>
                        <w:rStyle w:val="Hyperlink"/>
                        <w:rFonts w:ascii="Georgia" w:hAnsi="Georgia" w:cs="Georgia"/>
                        <w:sz w:val="24"/>
                        <w:szCs w:val="24"/>
                      </w:rPr>
                      <w:t>Life Sciences and Health Care</w:t>
                    </w:r>
                  </w:hyperlink>
                </w:p>
              </w:tc>
            </w:tr>
            <w:tr>
              <w:tc>
                <w:tcPr>
                  <w:tcW w:w="3686.4" w:type="dxa"/>
                </w:tcPr>
                <w:p>
                  <w:pPr>
                    <w:spacing w:after="220"/>
                  </w:pPr>
                  <w:hyperlink r:id="R5b3d3ead1d2148bb" w:history="1">
                    <w:r>
                      <w:rPr>
                        <w:rStyle w:val="Hyperlink"/>
                        <w:rFonts w:ascii="Georgia" w:hAnsi="Georgia" w:cs="Georgia"/>
                        <w:sz w:val="24"/>
                        <w:szCs w:val="24"/>
                      </w:rPr>
                      <w:t>Sports, Media and Entertainment</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0_Areas of Focu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Areas of focus</w:t>
                  </w:r>
                </w:p>
              </w:tc>
            </w:tr>
          </w:tbl>
          <w:p w:rsidR="004A1494" w:rsidRPr="00F20A7A" w:rsidRDefault="004A149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1_AreaofFocusList"/>
            </w:tblPr>
            <w:tblGrid>
              <w:gridCol w:w="3684"/>
            </w:tblGrid>
            <w:tr>
              <w:tc>
                <w:tcPr>
                  <w:tcW w:w="3686.4" w:type="dxa"/>
                </w:tcPr>
                <w:p>
                  <w:pPr>
                    <w:spacing w:after="220"/>
                  </w:pPr>
                  <w:hyperlink r:id="R296bddaffc4b4290" w:history="1">
                    <w:r>
                      <w:rPr>
                        <w:rStyle w:val="Hyperlink"/>
                        <w:rFonts w:ascii="Georgia" w:hAnsi="Georgia" w:cs="Georgia"/>
                        <w:sz w:val="24"/>
                        <w:szCs w:val="24"/>
                      </w:rPr>
                      <w:t>Bribery and Corruption</w:t>
                    </w:r>
                  </w:hyperlink>
                </w:p>
              </w:tc>
            </w:tr>
            <w:tr>
              <w:tc>
                <w:tcPr>
                  <w:tcW w:w="3686.4" w:type="dxa"/>
                </w:tcPr>
                <w:p>
                  <w:pPr>
                    <w:spacing w:after="220"/>
                  </w:pPr>
                  <w:hyperlink r:id="Rb73440627827453e" w:history="1">
                    <w:r>
                      <w:rPr>
                        <w:rStyle w:val="Hyperlink"/>
                        <w:rFonts w:ascii="Georgia" w:hAnsi="Georgia" w:cs="Georgia"/>
                        <w:sz w:val="24"/>
                        <w:szCs w:val="24"/>
                      </w:rPr>
                      <w:t>Global Class and Collective Actions</w:t>
                    </w:r>
                  </w:hyperlink>
                </w:p>
              </w:tc>
            </w:tr>
            <w:tr>
              <w:tc>
                <w:tcPr>
                  <w:tcW w:w="3686.4" w:type="dxa"/>
                </w:tcPr>
                <w:p>
                  <w:pPr>
                    <w:spacing w:after="220"/>
                  </w:pPr>
                  <w:hyperlink r:id="R818946be00c646fb" w:history="1">
                    <w:r>
                      <w:rPr>
                        <w:rStyle w:val="Hyperlink"/>
                        <w:rFonts w:ascii="Georgia" w:hAnsi="Georgia" w:cs="Georgia"/>
                        <w:sz w:val="24"/>
                        <w:szCs w:val="24"/>
                      </w:rPr>
                      <w:t>Pharmaceuticals and Biotechnology</w:t>
                    </w:r>
                  </w:hyperlink>
                </w:p>
              </w:tc>
            </w:tr>
            <w:tr>
              <w:tc>
                <w:tcPr>
                  <w:tcW w:w="3686.4" w:type="dxa"/>
                </w:tcPr>
                <w:p>
                  <w:pPr>
                    <w:spacing w:after="220"/>
                  </w:pPr>
                  <w:hyperlink r:id="Rb73440627827453e" w:history="1">
                    <w:r>
                      <w:rPr>
                        <w:rStyle w:val="Hyperlink"/>
                        <w:rFonts w:ascii="Georgia" w:hAnsi="Georgia" w:cs="Georgia"/>
                        <w:sz w:val="24"/>
                        <w:szCs w:val="24"/>
                      </w:rPr>
                      <w:t>Product Compliance</w:t>
                    </w:r>
                  </w:hyperlink>
                </w:p>
              </w:tc>
            </w:tr>
            <w:tr>
              <w:tc>
                <w:tcPr>
                  <w:tcW w:w="3686.4" w:type="dxa"/>
                </w:tcPr>
                <w:p>
                  <w:pPr>
                    <w:spacing w:after="220"/>
                  </w:pPr>
                  <w:hyperlink r:id="Rec97074b3f6a4e23" w:history="1">
                    <w:r>
                      <w:rPr>
                        <w:rStyle w:val="Hyperlink"/>
                        <w:rFonts w:ascii="Georgia" w:hAnsi="Georgia" w:cs="Georgia"/>
                        <w:sz w:val="24"/>
                        <w:szCs w:val="24"/>
                      </w:rPr>
                      <w:t>Product Litigation</w:t>
                    </w:r>
                  </w:hyperlink>
                </w:p>
              </w:tc>
            </w:tr>
            <w:tr>
              <w:tc>
                <w:tcPr>
                  <w:tcW w:w="3686.4" w:type="dxa"/>
                </w:tcPr>
                <w:p>
                  <w:pPr>
                    <w:spacing w:after="220"/>
                  </w:pPr>
                  <w:hyperlink r:id="Rb73440627827453e" w:history="1">
                    <w:r>
                      <w:rPr>
                        <w:rStyle w:val="Hyperlink"/>
                        <w:rFonts w:ascii="Georgia" w:hAnsi="Georgia" w:cs="Georgia"/>
                        <w:sz w:val="24"/>
                        <w:szCs w:val="24"/>
                      </w:rPr>
                      <w:t>Alternative Dispute Resolution</w:t>
                    </w:r>
                  </w:hyperlink>
                </w:p>
              </w:tc>
            </w:tr>
            <w:tr>
              <w:tc>
                <w:tcPr>
                  <w:tcW w:w="3686.4" w:type="dxa"/>
                </w:tcPr>
                <w:p>
                  <w:pPr>
                    <w:spacing w:after="220"/>
                  </w:pPr>
                  <w:hyperlink r:id="Rc17587cff4cb4c43" w:history="1">
                    <w:r>
                      <w:rPr>
                        <w:rStyle w:val="Hyperlink"/>
                        <w:rFonts w:ascii="Georgia" w:hAnsi="Georgia" w:cs="Georgia"/>
                        <w:sz w:val="24"/>
                        <w:szCs w:val="24"/>
                      </w:rPr>
                      <w:t>Whistleblowing</w:t>
                    </w:r>
                  </w:hyperlink>
                </w:p>
              </w:tc>
            </w:tr>
          </w:tbl>
          <w:p w:rsidR="00D66ED7"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2_border5"/>
            </w:tblPr>
            <w:tblGrid>
              <w:gridCol w:w="3684"/>
            </w:tblGrid>
            <w:tr w:rsidR="0060354B" w:rsidTr="00FE240B">
              <w:trPr>
                <w:trHeight w:val="158"/>
              </w:trPr>
              <w:tc>
                <w:tcPr>
                  <w:tcW w:w="3684" w:type="dxa"/>
                </w:tcPr>
                <w:p w:rsidR="0060354B" w:rsidRDefault="0060354B">
                  <w:pPr>
                    <w:rPr>
                      <w:sz w:val="4"/>
                      <w:szCs w:val="4"/>
                    </w:rPr>
                  </w:pPr>
                  <w:r w:rsidRPr="009D25A3">
                    <w:rPr>
                      <w:noProof/>
                      <w:color w:val="E7E6E6" w:themeColor="background2"/>
                    </w:rPr>
                    <mc:AlternateContent>
                      <mc:Choice Requires="wps">
                        <w:drawing>
                          <wp:anchor distT="0" distB="0" distL="114300" distR="114300" simplePos="0" relativeHeight="251691008" behindDoc="0" locked="0" layoutInCell="1" allowOverlap="1" wp14:anchorId="2F6A9D8C" wp14:editId="282AE259">
                            <wp:simplePos x="0" y="0"/>
                            <wp:positionH relativeFrom="column">
                              <wp:posOffset>-3174</wp:posOffset>
                            </wp:positionH>
                            <wp:positionV relativeFrom="paragraph">
                              <wp:posOffset>50800</wp:posOffset>
                            </wp:positionV>
                            <wp:extent cx="22098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22098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2D387B" id="Straight Connector 7"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pt" to="173.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" strokecolor="#ccc" strokeweight="1.5pt">
                            <v:stroke joinstyle="miter"/>
                          </v:line>
                        </w:pict>
                      </mc:Fallback>
                    </mc:AlternateContent>
                  </w:r>
                </w:p>
              </w:tc>
            </w:tr>
          </w:tbl>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Advanced post-graduation course in Sports Law, University of Milan, 2017</w:t>
                  </w:r>
                </w:p>
              </w:tc>
            </w:tr>
            <w:tr>
              <w:tc>
                <w:tcPr>
                  <w:tcW w:w="3686.4" w:type="dxa"/>
                </w:tcPr>
                <w:p>
                  <w:pPr>
                    <w:spacing w:after="220"/>
                  </w:pPr>
                  <w:r>
                    <w:rPr>
                      <w:lang w:val="en-US"/>
                      <w:rFonts w:ascii="Georgia" w:hAnsi="Georgia" w:cs="Georgia"/>
                      <w:u w:val="none"/>
                      <w:sz w:val="24"/>
                      <w:szCs w:val="24"/>
                      <w:color w:val="000000"/>
                    </w:rPr>
                    <w:t>Law Degree, Bocconi University, 2011</w:t>
                  </w:r>
                </w:p>
              </w:tc>
            </w:tr>
            <w:tr>
              <w:tc>
                <w:tcPr>
                  <w:tcW w:w="3686.4" w:type="dxa"/>
                </w:tcPr>
                <w:p>
                  <w:pPr>
                    <w:spacing w:after="220"/>
                  </w:pPr>
                  <w:r>
                    <w:rPr>
                      <w:lang w:val="en-US"/>
                      <w:rFonts w:ascii="Georgia" w:hAnsi="Georgia" w:cs="Georgia"/>
                      <w:u w:val="none"/>
                      <w:sz w:val="24"/>
                      <w:szCs w:val="24"/>
                      <w:color w:val="000000"/>
                    </w:rPr>
                    <w:t>Exchange Program, The University of Texas at Austin, School of Law, 2010</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p w:rsidR="004A1494" w:rsidRPr="00F20A7A" w:rsidRDefault="004A1494">
            <w:pPr>
              <w:rPr>
                <w:sz w:val="4"/>
                <w:szCs w:val="4"/>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0_Bar admissions and qualifications"/>
            </w:tblPr>
            <w:tblGrid>
              <w:gridCol w:w="3684"/>
            </w:tblGrid>
            <w:tr w:rsidR="0079721B" w:rsidTr="003A43D4">
              <w:trPr>
                <w:trHeight w:val="199"/>
              </w:trPr>
              <w:tc>
                <w:tcPr>
                  <w:tcW w:w="3684" w:type="dxa"/>
                </w:tcPr>
                <w:p w:rsidR="0079721B" w:rsidRPr="00E2312E" w:rsidRDefault="0079721B" w:rsidP="0079721B">
                  <w:pPr>
                    <w:rPr>
                      <w:color w:val="58A618"/>
                      <w:sz w:val="44"/>
                      <w:szCs w:val="44"/>
                    </w:rPr>
                  </w:pPr>
                  <w:bookmarkStart w:id="2" w:name="_GoBack"/>
                  <w:bookmarkEnd w:id="2"/>
                  <w:r>
                    <w:rPr>
                      <w:lang w:val="en-US"/>
                      <w:rFonts w:ascii="Calibri" w:hAnsi="Calibri" w:cs="Calibri"/>
                      <w:u w:val="none"/>
                      <w:sz w:val="40"/>
                      <w:szCs w:val="40"/>
                      <w:color w:val="58A618"/>
                    </w:rPr>
                    <w:t>Bar admissions and qualifications</w:t>
                  </w:r>
                </w:p>
              </w:tc>
            </w:tr>
          </w:tbl>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1_BaradmissionsList"/>
            </w:tblPr>
            <w:tblGrid>
              <w:gridCol w:w="3684"/>
            </w:tblGrid>
            <w:tr>
              <w:tc>
                <w:tcPr>
                  <w:tcW w:w="3686.4" w:type="dxa"/>
                </w:tcPr>
                <w:p>
                  <w:pPr>
                    <w:spacing w:after="220"/>
                  </w:pPr>
                  <w:r>
                    <w:rPr>
                      <w:lang w:val="en-US"/>
                      <w:rFonts w:ascii="Georgia" w:hAnsi="Georgia" w:cs="Georgia"/>
                      <w:u w:val="none"/>
                      <w:sz w:val="24"/>
                      <w:szCs w:val="24"/>
                      <w:color w:val="000000"/>
                    </w:rPr>
                    <w:t>Milan</w:t>
                  </w:r>
                </w:p>
              </w:tc>
            </w:tr>
          </w:tbl>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2_border8"/>
            </w:tblPr>
            <w:tblGrid>
              <w:gridCol w:w="3686"/>
            </w:tblGrid>
            <w:tr w:rsidR="00623210" w:rsidTr="00FE240B">
              <w:trPr>
                <w:trHeight w:val="158"/>
              </w:trPr>
              <w:tc>
                <w:tcPr>
                  <w:tcW w:w="3684" w:type="dxa"/>
                </w:tcPr>
                <w:p w:rsidR="00623210" w:rsidRPr="00D932FF" w:rsidRDefault="00623210" w:rsidP="00623210">
                  <w:pPr>
                    <w:rPr>
                      <w:sz w:val="16"/>
                      <w:szCs w:val="16"/>
                    </w:rPr>
                  </w:pPr>
                  <w:r w:rsidRPr="00D932FF">
                    <w:rPr>
                      <w:noProof/>
                      <w:color w:val="E7E6E6" w:themeColor="background2"/>
                      <w:sz w:val="16"/>
                      <w:szCs w:val="16"/>
                    </w:rPr>
                    <mc:AlternateContent>
                      <mc:Choice Requires="wps">
                        <w:drawing>
                          <wp:anchor distT="0" distB="0" distL="114300" distR="114300" simplePos="0" relativeHeight="251682816" behindDoc="0" locked="0" layoutInCell="1" allowOverlap="1" wp14:anchorId="3348DBEB" wp14:editId="0D29A84E">
                            <wp:simplePos x="0" y="0"/>
                            <wp:positionH relativeFrom="column">
                              <wp:posOffset>-12700</wp:posOffset>
                            </wp:positionH>
                            <wp:positionV relativeFrom="paragraph">
                              <wp:posOffset>38101</wp:posOffset>
                            </wp:positionV>
                            <wp:extent cx="22193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455E4C" id="Straight Connector 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pt" to="173.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" strokecolor="#ccc" strokeweight="1.5pt">
                            <v:stroke joinstyle="miter"/>
                          </v:line>
                        </w:pict>
                      </mc:Fallback>
                    </mc:AlternateContent>
                  </w:r>
                </w:p>
              </w:tc>
            </w:tr>
          </w:tbl>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6_Accolades"/>
            </w:tblPr>
            <w:tblGrid>
              <w:gridCol w:w="3684"/>
            </w:tblGrid>
            <w:tr w:rsidR="00D74D97" w:rsidTr="003A43D4">
              <w:trPr>
                <w:trHeight w:val="287"/>
              </w:trPr>
              <w:tc>
                <w:tcPr>
                  <w:tcW w:w="3684" w:type="dxa"/>
                </w:tcPr>
                <w:p w:rsidR="00D74D97" w:rsidRDefault="00D74D97">
                  <w:r>
                    <w:rPr>
                      <w:lang w:val="en-US"/>
                      <w:rFonts w:ascii="Calibri" w:hAnsi="Calibri" w:cs="Calibri"/>
                      <w:u w:val="none"/>
                      <w:sz w:val="40"/>
                      <w:szCs w:val="40"/>
                      <w:color w:val="58A618"/>
                    </w:rPr>
                    <w:t>Accolades</w:t>
                  </w:r>
                </w:p>
              </w:tc>
            </w:tr>
          </w:tbl>
          <w:p w:rsidR="001A7332" w:rsidRPr="001A7332" w:rsidRDefault="001A7332">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7_QuotesList"/>
            </w:tblPr>
            <w:tblGrid>
              <w:gridCol w:w="3686"/>
            </w:tblGrid>
            <w:tr>
              <w:tc>
                <w:tcPr>
                  <w:tcW w:w="3686.4" w:type="dxa"/>
                </w:tcPr>
                <w:p>
                  <w:pPr>
                    <w:spacing w:after="120"/>
                  </w:pPr>
                  <w:r>
                    <w:rPr>
                      <w:lang w:val="en-US"/>
                      <w:rFonts w:ascii="Georgia" w:hAnsi="Georgia" w:cs="Georgia"/>
                      <w:u w:val="none"/>
                      <w:sz w:val="24"/>
                      <w:szCs w:val="24"/>
                      <w:color w:val="000000"/>
                    </w:rPr>
                    <w:t>‘Alessandro Borrello is able to find workarounds to make legal requirements compatible with business needs. He is always ready to assist and provides swift replies in an efficient and clear manner.’</w:t>
                  </w:r>
                </w:p>
                <w:p>
                  <w:pPr>
                    <w:jc w:val="right"/>
                    <w:spacing w:after="300"/>
                  </w:pPr>
                  <w:r>
                    <w:rPr>
                      <w:lang w:val="en-US"/>
                      <w:u w:val="none"/>
                      <w:i/>
                      <w:rFonts w:ascii="Georgia" w:hAnsi="Georgia" w:cs="Georgia"/>
                      <w:sz w:val="24"/>
                      <w:szCs w:val="24"/>
                    </w:rPr>
                    <w:t>Legal 500, 2024</w:t>
                  </w:r>
                </w:p>
              </w:tc>
            </w:tr>
            <w:tr>
              <w:tc>
                <w:tcPr>
                  <w:tcW w:w="3686.4" w:type="dxa"/>
                </w:tcPr>
                <w:p>
                  <w:pPr>
                    <w:spacing w:after="120"/>
                  </w:pPr>
                  <w:r>
                    <w:rPr>
                      <w:lang w:val="en-US"/>
                      <w:rFonts w:ascii="Georgia" w:hAnsi="Georgia" w:cs="Georgia"/>
                      <w:u w:val="none"/>
                      <w:sz w:val="24"/>
                      <w:szCs w:val="24"/>
                      <w:color w:val="000000"/>
                    </w:rPr>
                    <w:t>"Alessandro Borrello is extremely available, competent and collaborative"</w:t>
                  </w:r>
                </w:p>
                <w:p>
                  <w:pPr>
                    <w:jc w:val="right"/>
                    <w:spacing w:after="300"/>
                  </w:pPr>
                  <w:r>
                    <w:rPr>
                      <w:lang w:val="en-US"/>
                      <w:u w:val="none"/>
                      <w:i/>
                      <w:rFonts w:ascii="Georgia" w:hAnsi="Georgia" w:cs="Georgia"/>
                      <w:sz w:val="24"/>
                      <w:szCs w:val="24"/>
                    </w:rPr>
                    <w:t>Chambers Global, 2021</w:t>
                  </w:r>
                </w:p>
              </w:tc>
            </w:tr>
            <w:tr>
              <w:tc>
                <w:tcPr>
                  <w:tcW w:w="3686.4" w:type="dxa"/>
                </w:tcPr>
                <w:p>
                  <w:pPr>
                    <w:spacing w:after="120"/>
                  </w:pPr>
                  <w:r>
                    <w:rPr>
                      <w:lang w:val="en-US"/>
                      <w:rFonts w:ascii="Georgia" w:hAnsi="Georgia" w:cs="Georgia"/>
                      <w:u w:val="none"/>
                      <w:sz w:val="24"/>
                      <w:szCs w:val="24"/>
                      <w:color w:val="000000"/>
                    </w:rPr>
                    <w:t>"Alessandro Borrello is very competent, well versed and professional and supports the client in an active and efficient way"</w:t>
                  </w:r>
                </w:p>
                <w:p>
                  <w:pPr>
                    <w:jc w:val="right"/>
                    <w:spacing w:after="300"/>
                  </w:pPr>
                  <w:r>
                    <w:rPr>
                      <w:lang w:val="en-US"/>
                      <w:u w:val="none"/>
                      <w:i/>
                      <w:rFonts w:ascii="Georgia" w:hAnsi="Georgia" w:cs="Georgia"/>
                      <w:sz w:val="24"/>
                      <w:szCs w:val="24"/>
                    </w:rPr>
                    <w:t>The Legal 500, 2021</w:t>
                  </w:r>
                </w:p>
              </w:tc>
            </w:tr>
            <w:tr>
              <w:tc>
                <w:tcPr>
                  <w:tcW w:w="3686.4" w:type="dxa"/>
                </w:tcPr>
                <w:p>
                  <w:pPr>
                    <w:spacing w:after="120"/>
                  </w:pPr>
                  <w:r>
                    <w:rPr>
                      <w:lang w:val="en-US"/>
                      <w:rFonts w:ascii="Georgia" w:hAnsi="Georgia" w:cs="Georgia"/>
                      <w:u w:val="none"/>
                      <w:sz w:val="24"/>
                      <w:szCs w:val="24"/>
                      <w:color w:val="000000"/>
                    </w:rPr>
                    <w:t>"Alessandro is a young and excellent litigator who is always ready to help, with deep technical knowledge and superb commercial awareness."</w:t>
                  </w:r>
                </w:p>
                <w:p>
                  <w:pPr>
                    <w:jc w:val="right"/>
                    <w:spacing w:after="300"/>
                  </w:pPr>
                  <w:r>
                    <w:rPr>
                      <w:lang w:val="en-US"/>
                      <w:u w:val="none"/>
                      <w:i/>
                      <w:rFonts w:ascii="Georgia" w:hAnsi="Georgia" w:cs="Georgia"/>
                      <w:sz w:val="24"/>
                      <w:szCs w:val="24"/>
                    </w:rPr>
                    <w:t>Chambers Europe, 2023</w:t>
                  </w:r>
                </w:p>
              </w:tc>
            </w:tr>
            <w:tr>
              <w:tc>
                <w:tcPr>
                  <w:tcW w:w="3686.4" w:type="dxa"/>
                </w:tcPr>
                <w:p>
                  <w:pPr>
                    <w:spacing w:after="120"/>
                  </w:pPr>
                  <w:r>
                    <w:rPr>
                      <w:lang w:val="en-US"/>
                      <w:rFonts w:ascii="Georgia" w:hAnsi="Georgia" w:cs="Georgia"/>
                      <w:u w:val="none"/>
                      <w:sz w:val="24"/>
                      <w:szCs w:val="24"/>
                      <w:color w:val="000000"/>
                    </w:rPr>
                    <w:t>"Alessandro understands all business and technical matters quickly. He is also very committed with timelines and adapts to the client's concerns."</w:t>
                  </w:r>
                </w:p>
                <w:p>
                  <w:pPr>
                    <w:jc w:val="right"/>
                    <w:spacing w:after="300"/>
                  </w:pPr>
                  <w:r>
                    <w:rPr>
                      <w:lang w:val="en-US"/>
                      <w:u w:val="none"/>
                      <w:i/>
                      <w:rFonts w:ascii="Georgia" w:hAnsi="Georgia" w:cs="Georgia"/>
                      <w:sz w:val="24"/>
                      <w:szCs w:val="24"/>
                    </w:rPr>
                    <w:t>Chambers Europe - 2023</w:t>
                  </w:r>
                </w:p>
              </w:tc>
            </w:tr>
            <w:tr>
              <w:tc>
                <w:tcPr>
                  <w:tcW w:w="3686.4" w:type="dxa"/>
                </w:tcPr>
                <w:p>
                  <w:pPr>
                    <w:spacing w:after="120"/>
                  </w:pPr>
                  <w:r>
                    <w:rPr>
                      <w:lang w:val="en-US"/>
                      <w:rFonts w:ascii="Georgia" w:hAnsi="Georgia" w:cs="Georgia"/>
                      <w:u w:val="none"/>
                      <w:sz w:val="24"/>
                      <w:szCs w:val="24"/>
                      <w:color w:val="000000"/>
                    </w:rPr>
                    <w:t>"Always eager to assist with practical advice."</w:t>
                  </w:r>
                </w:p>
                <w:p>
                  <w:pPr>
                    <w:jc w:val="right"/>
                    <w:spacing w:after="300"/>
                  </w:pPr>
                  <w:r>
                    <w:rPr>
                      <w:lang w:val="en-US"/>
                      <w:u w:val="none"/>
                      <w:i/>
                      <w:rFonts w:ascii="Georgia" w:hAnsi="Georgia" w:cs="Georgia"/>
                      <w:sz w:val="24"/>
                      <w:szCs w:val="24"/>
                    </w:rPr>
                    <w:t>The Legal 500, 2023</w:t>
                  </w:r>
                </w:p>
              </w:tc>
            </w:tr>
            <w:tr>
              <w:tc>
                <w:tcPr>
                  <w:tcW w:w="3686.4" w:type="dxa"/>
                </w:tcPr>
                <w:p>
                  <w:pPr>
                    <w:spacing w:after="120"/>
                  </w:pPr>
                  <w:r>
                    <w:rPr>
                      <w:lang w:val="en-US"/>
                      <w:rFonts w:ascii="Georgia" w:hAnsi="Georgia" w:cs="Georgia"/>
                      <w:u w:val="none"/>
                      <w:sz w:val="24"/>
                      <w:szCs w:val="24"/>
                      <w:color w:val="000000"/>
                    </w:rPr>
                    <w:t>"Very responsive; he answered questions fairly and in a way that meant the nuances of Italian law were easy to understand."</w:t>
                  </w:r>
                </w:p>
                <w:p>
                  <w:pPr>
                    <w:jc w:val="right"/>
                    <w:spacing w:after="300"/>
                  </w:pPr>
                  <w:r>
                    <w:rPr>
                      <w:lang w:val="en-US"/>
                      <w:u w:val="none"/>
                      <w:i/>
                      <w:rFonts w:ascii="Georgia" w:hAnsi="Georgia" w:cs="Georgia"/>
                      <w:sz w:val="24"/>
                      <w:szCs w:val="24"/>
                    </w:rPr>
                    <w:t>Chambers Europe, 2022</w:t>
                  </w:r>
                </w:p>
              </w:tc>
            </w:tr>
          </w:tbl>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8_border10"/>
            </w:tblPr>
            <w:tblGrid>
              <w:gridCol w:w="3686"/>
            </w:tblGrid>
            <w:tr w:rsidR="00181440" w:rsidTr="00FE240B">
              <w:trPr>
                <w:trHeight w:val="158"/>
              </w:trPr>
              <w:tc>
                <w:tcPr>
                  <w:tcW w:w="3686" w:type="dxa"/>
                </w:tcPr>
                <w:p w:rsidR="00181440" w:rsidRPr="00D932FF" w:rsidRDefault="00181440">
                  <w:pPr>
                    <w:rPr>
                      <w:sz w:val="16"/>
                      <w:szCs w:val="16"/>
                    </w:rPr>
                  </w:pPr>
                  <w:r w:rsidRPr="00D932FF">
                    <w:rPr>
                      <w:noProof/>
                      <w:color w:val="E7E6E6" w:themeColor="background2"/>
                      <w:sz w:val="16"/>
                      <w:szCs w:val="16"/>
                    </w:rPr>
                    <mc:AlternateContent>
                      <mc:Choice Requires="wps">
                        <w:drawing>
                          <wp:anchor distT="0" distB="0" distL="114300" distR="114300" simplePos="0" relativeHeight="251697152" behindDoc="0" locked="0" layoutInCell="1" allowOverlap="1" wp14:anchorId="06B872CB" wp14:editId="6D189D00">
                            <wp:simplePos x="0" y="0"/>
                            <wp:positionH relativeFrom="column">
                              <wp:posOffset>-12700</wp:posOffset>
                            </wp:positionH>
                            <wp:positionV relativeFrom="paragraph">
                              <wp:posOffset>29211</wp:posOffset>
                            </wp:positionV>
                            <wp:extent cx="2247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479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2BAF56" id="Straight Connector 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2.3pt" to="176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" strokecolor="#ccc" strokeweight="1.5pt">
                            <v:stroke joinstyle="miter"/>
                          </v:line>
                        </w:pict>
                      </mc:Fallback>
                    </mc:AlternateContent>
                  </w:r>
                </w:p>
              </w:tc>
            </w:tr>
          </w:tbl>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num>
  <w:num w:numId="2">
    <w:abstractNumId w:val="1"/>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65e40d72-8940-47b5-979c-58e8b0c30fd0.jpeg" Id="Rf00155872d004328" /><Relationship Type="http://schemas.openxmlformats.org/officeDocument/2006/relationships/hyperlink" Target="mailto:alessandro.borrello@hoganlovells.com" TargetMode="External" Id="R362d295ce9bb49d2" /><Relationship Type="http://schemas.openxmlformats.org/officeDocument/2006/relationships/hyperlink" Target="https://mc-7c5ead77-4153-4f21-9a29-b0c7-cm.azurewebsites.net//en/service/litigation-and-arbitration" TargetMode="External" Id="R569fb8a70653498a" /><Relationship Type="http://schemas.openxmlformats.org/officeDocument/2006/relationships/hyperlink" Target="https://mc-7c5ead77-4153-4f21-9a29-b0c7-cm.azurewebsites.net//en/service/investigations" TargetMode="External" Id="Rf52ef2a4d3714c21" /><Relationship Type="http://schemas.openxmlformats.org/officeDocument/2006/relationships/hyperlink" Target="https://mc-7c5ead77-4153-4f21-9a29-b0c7-cm.azurewebsites.net//en/service/corporate-and-securities-litigation" TargetMode="External" Id="R4e4dc9bcb43047e4" /><Relationship Type="http://schemas.openxmlformats.org/officeDocument/2006/relationships/hyperlink" Target="https://mc-7c5ead77-4153-4f21-9a29-b0c7-cm.azurewebsites.net//en/service/commercial-litigation" TargetMode="External" Id="R91a62cb49cde40d8" /><Relationship Type="http://schemas.openxmlformats.org/officeDocument/2006/relationships/hyperlink" Target="https://mc-7c5ead77-4153-4f21-9a29-b0c7-cm.azurewebsites.net//en/service/insurance-litigation" TargetMode="External" Id="Rcd3712f8e8004422" /><Relationship Type="http://schemas.openxmlformats.org/officeDocument/2006/relationships/hyperlink" Target="https://mc-7c5ead77-4153-4f21-9a29-b0c7-cm.azurewebsites.net//en/sector/aerospace-and-defense" TargetMode="External" Id="R1e82963eabc749e9" /><Relationship Type="http://schemas.openxmlformats.org/officeDocument/2006/relationships/hyperlink" Target="https://mc-7c5ead77-4153-4f21-9a29-b0c7-cm.azurewebsites.net//en/sector/automotive-and-mobility" TargetMode="External" Id="R15b0060f77d34cac" /><Relationship Type="http://schemas.openxmlformats.org/officeDocument/2006/relationships/hyperlink" Target="https://mc-7c5ead77-4153-4f21-9a29-b0c7-cm.azurewebsites.net//en/sector/consumer" TargetMode="External" Id="R0f075426298b4683" /><Relationship Type="http://schemas.openxmlformats.org/officeDocument/2006/relationships/hyperlink" Target="https://mc-7c5ead77-4153-4f21-9a29-b0c7-cm.azurewebsites.net//en/sector/insurance" TargetMode="External" Id="R26d5c44799fe4b50" /><Relationship Type="http://schemas.openxmlformats.org/officeDocument/2006/relationships/hyperlink" Target="https://mc-7c5ead77-4153-4f21-9a29-b0c7-cm.azurewebsites.net//en/sector/life-sciences-and-healthcare" TargetMode="External" Id="Ra88be46e8f934e61" /><Relationship Type="http://schemas.openxmlformats.org/officeDocument/2006/relationships/hyperlink" Target="https://mc-7c5ead77-4153-4f21-9a29-b0c7-cm.azurewebsites.net//en/sector/sports-media-and-entertainment" TargetMode="External" Id="R5b3d3ead1d2148bb" /><Relationship Type="http://schemas.openxmlformats.org/officeDocument/2006/relationships/hyperlink" Target="https://mc-7c5ead77-4153-4f21-9a29-b0c7-cm.azurewebsites.net//en/aof/bribery-and-corruption" TargetMode="External" Id="R296bddaffc4b4290" /><Relationship Type="http://schemas.openxmlformats.org/officeDocument/2006/relationships/hyperlink" Target="https://mc-7c5ead77-4153-4f21-9a29-b0c7-cm.azurewebsites.net/https://www.hoganlovells.com/en/capabilities/practice-category-group/litigation-arbitration-and-employment" TargetMode="External" Id="Rb73440627827453e" /><Relationship Type="http://schemas.openxmlformats.org/officeDocument/2006/relationships/hyperlink" Target="https://mc-7c5ead77-4153-4f21-9a29-b0c7-cm.azurewebsites.net//en/aof/pharmaceutical-and-biotechnology" TargetMode="External" Id="R818946be00c646fb" /><Relationship Type="http://schemas.openxmlformats.org/officeDocument/2006/relationships/hyperlink" Target="https://mc-7c5ead77-4153-4f21-9a29-b0c7-cm.azurewebsites.net/https://www.hoganlovells.com/en/capabilities/practice-category-group/global-regulatory" TargetMode="External" Id="Rec97074b3f6a4e23" /><Relationship Type="http://schemas.openxmlformats.org/officeDocument/2006/relationships/hyperlink" Target="https://mc-7c5ead77-4153-4f21-9a29-b0c7-cm.azurewebsites.net//en/aof/whistleblowing" TargetMode="External" Id="Rc17587cff4cb4c43"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