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Clifford D. Stromberg</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Washington, D.C.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Cliff Stromberg is widely recognized as a national leader in negotiating complex transactions for academic medical centers, hospitals and systems, managed care organizations, and other health care clients. He is a trusted advisor to boards and management in conceptualizing deal options and assessing the pros and cons of different moves in the market. He finds creative solutions and knows how to both negotiate hard and "get to yes."</w:t>
                  </w:r>
                  <w:r>
                    <w:br/>
                  </w:r>
                </w:p>
                <w:p>
                  <w:pPr>
                    <w:spacing w:line="276"/>
                  </w:pPr>
                  <w:r>
                    <w:rPr>
                      <w:rFonts w:ascii="Georgia" w:hAnsi="Georgia" w:cs="Georgia"/>
                      <w:sz w:val="24"/>
                      <w:szCs w:val="24"/>
                    </w:rPr>
                    <w:t>He and his team have closed many tens of billions of dollars of deals in recent years. They have advised more than half of the leading academic medical centers – both public and private – as well as leading health systems, and more than a dozen state and local governments on major strategic transactions. Cliff and his team can offer clients insights into best practices and emerging trends. They serve as an efficient "SWAT team," bringing together legal experience across all the operational areas embedded in a complex deal. They help clients realistically assess what works and what doesn't, and how best to secure their goals.</w:t>
                  </w:r>
                  <w:r>
                    <w:br/>
                  </w:r>
                </w:p>
                <w:p>
                  <w:pPr>
                    <w:spacing w:line="276"/>
                  </w:pPr>
                  <w:r>
                    <w:rPr>
                      <w:rFonts w:ascii="Georgia" w:hAnsi="Georgia" w:cs="Georgia"/>
                      <w:sz w:val="24"/>
                      <w:szCs w:val="24"/>
                    </w:rPr>
                    <w:t>Cliff also knows the world of managed care, population health, and clinically integrated networks. His prior experience in government (having been appointed by the President as Deputy Executive Secretary of the U.S. Department of Health and Human Services, and later serving  as an Advisor to the Federal Trade Commission on health industry matters), and his roles in creating, selling, combining, and restructuring managed care plans enable him to help clients stay ahead of the curve in this arena.</w:t>
                  </w:r>
                  <w:r>
                    <w:br/>
                  </w:r>
                </w:p>
                <w:p>
                  <w:pPr>
                    <w:spacing w:line="276"/>
                  </w:pPr>
                  <w:r>
                    <w:rPr>
                      <w:rFonts w:ascii="Georgia" w:hAnsi="Georgia" w:cs="Georgia"/>
                      <w:sz w:val="24"/>
                      <w:szCs w:val="24"/>
                    </w:rPr>
                    <w:t xml:space="preserve">According to </w:t>
                  </w:r>
                  <w:r>
                    <w:rPr>
                      <w:rFonts w:ascii="Georgia" w:hAnsi="Georgia" w:cs="Georgia"/>
                      <w:sz w:val="24"/>
                      <w:szCs w:val="24"/>
                      <w:i/>
                    </w:rPr>
                    <w:t>Chambers USA</w:t>
                  </w:r>
                  <w:r>
                    <w:rPr>
                      <w:rFonts w:ascii="Georgia" w:hAnsi="Georgia" w:cs="Georgia"/>
                      <w:sz w:val="24"/>
                      <w:szCs w:val="24"/>
                    </w:rPr>
                    <w:t>, "Interviewees describe Cliff Stromberg as an extraordinary, almost unique resource in terms of his ability to help... think things through and get things done. He frequently advises on high-value transactions."</w:t>
                  </w:r>
                  <w:r>
                    <w:br/>
                  </w:r>
                </w:p>
                <w:p>
                  <w:pPr>
                    <w:spacing w:line="276"/>
                  </w:pPr>
                  <w:r>
                    <w:rPr>
                      <w:rFonts w:ascii="Georgia" w:hAnsi="Georgia" w:cs="Georgia"/>
                      <w:sz w:val="24"/>
                      <w:szCs w:val="24"/>
                      <w:i/>
                    </w:rPr>
                    <w:t>The Financial Times</w:t>
                  </w:r>
                  <w:r>
                    <w:rPr>
                      <w:rFonts w:ascii="Georgia" w:hAnsi="Georgia" w:cs="Georgia"/>
                      <w:sz w:val="24"/>
                      <w:szCs w:val="24"/>
                    </w:rPr>
                    <w:t>, in naming Hogan Lovells as one of the "most innovative" law firms, cited as one example Cliff's ability at "managing complexity and scale" in a large hospital transaction. </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Counsel to Kaiser in the creation of Risant Health, its acquisition of Geisinger Health, and in other transactions.</w:t>
                  </w:r>
                  <w:r>
                    <w:rPr>
                      <w:lang w:val="en-US"/>
                      <w:u w:val="none"/>
                    </w:rPr>
                    <w:br/>
                  </w:r>
                  <w:r>
                    <w:rPr>
                      <w:lang w:val="en-US"/>
                      <w:u w:val="none"/>
                    </w:rPr>
                    <w:br/>
                  </w:r>
                  <w:r>
                    <w:rPr>
                      <w:lang w:val="en-US"/>
                      <w:rFonts w:ascii="Georgia" w:hAnsi="Georgia" w:cs="Georgia"/>
                      <w:u w:val="none"/>
                      <w:sz w:val="24"/>
                      <w:szCs w:val="24"/>
                      <w:color w:val="000000"/>
                    </w:rPr>
                    <w:t>Negotiating the combination of Albert Einstein Healthcare Network and Thomas Jefferson University (and where client successfully defeated the Federal Trade Commission in litigation).</w:t>
                  </w:r>
                  <w:r>
                    <w:rPr>
                      <w:lang w:val="en-US"/>
                      <w:u w:val="none"/>
                    </w:rPr>
                    <w:br/>
                  </w:r>
                  <w:r>
                    <w:rPr>
                      <w:lang w:val="en-US"/>
                      <w:u w:val="none"/>
                    </w:rPr>
                    <w:br/>
                  </w:r>
                  <w:r>
                    <w:rPr>
                      <w:lang w:val="en-US"/>
                      <w:rFonts w:ascii="Georgia" w:hAnsi="Georgia" w:cs="Georgia"/>
                      <w:u w:val="none"/>
                      <w:sz w:val="24"/>
                      <w:szCs w:val="24"/>
                      <w:color w:val="000000"/>
                    </w:rPr>
                    <w:t>Counsel to Essentia Health in its planned combination with Marshfield Clinic (terminated).</w:t>
                  </w:r>
                  <w:r>
                    <w:rPr>
                      <w:lang w:val="en-US"/>
                      <w:u w:val="none"/>
                    </w:rPr>
                    <w:br/>
                  </w:r>
                  <w:r>
                    <w:rPr>
                      <w:lang w:val="en-US"/>
                      <w:u w:val="none"/>
                    </w:rPr>
                    <w:br/>
                  </w:r>
                  <w:r>
                    <w:rPr>
                      <w:lang w:val="en-US"/>
                      <w:rFonts w:ascii="Georgia" w:hAnsi="Georgia" w:cs="Georgia"/>
                      <w:u w:val="none"/>
                      <w:sz w:val="24"/>
                      <w:szCs w:val="24"/>
                      <w:color w:val="000000"/>
                    </w:rPr>
                    <w:t>Counsel to Arizona State University in creating a new School of Medicine and Advanced Medical Engineering.</w:t>
                  </w:r>
                  <w:r>
                    <w:rPr>
                      <w:lang w:val="en-US"/>
                      <w:u w:val="none"/>
                    </w:rPr>
                    <w:br/>
                  </w:r>
                  <w:r>
                    <w:rPr>
                      <w:lang w:val="en-US"/>
                      <w:u w:val="none"/>
                    </w:rPr>
                    <w:br/>
                  </w:r>
                  <w:r>
                    <w:rPr>
                      <w:lang w:val="en-US"/>
                      <w:rFonts w:ascii="Georgia" w:hAnsi="Georgia" w:cs="Georgia"/>
                      <w:u w:val="none"/>
                      <w:sz w:val="24"/>
                      <w:szCs w:val="24"/>
                      <w:color w:val="000000"/>
                    </w:rPr>
                    <w:t>Counsel to Indiana University in its affiliation with IU Health.</w:t>
                  </w:r>
                  <w:r>
                    <w:rPr>
                      <w:lang w:val="en-US"/>
                      <w:u w:val="none"/>
                    </w:rPr>
                    <w:br/>
                  </w:r>
                  <w:r>
                    <w:rPr>
                      <w:lang w:val="en-US"/>
                      <w:u w:val="none"/>
                    </w:rPr>
                    <w:br/>
                  </w:r>
                  <w:r>
                    <w:rPr>
                      <w:lang w:val="en-US"/>
                      <w:rFonts w:ascii="Georgia" w:hAnsi="Georgia" w:cs="Georgia"/>
                      <w:u w:val="none"/>
                      <w:sz w:val="24"/>
                      <w:szCs w:val="24"/>
                      <w:color w:val="000000"/>
                    </w:rPr>
                    <w:t>Counsel to Beaumont Health in its combination with Spectrum Health.</w:t>
                  </w:r>
                  <w:r>
                    <w:rPr>
                      <w:lang w:val="en-US"/>
                      <w:u w:val="none"/>
                    </w:rPr>
                    <w:br/>
                  </w:r>
                  <w:r>
                    <w:rPr>
                      <w:lang w:val="en-US"/>
                      <w:u w:val="none"/>
                    </w:rPr>
                    <w:br/>
                  </w:r>
                  <w:r>
                    <w:rPr>
                      <w:lang w:val="en-US"/>
                      <w:rFonts w:ascii="Georgia" w:hAnsi="Georgia" w:cs="Georgia"/>
                      <w:u w:val="none"/>
                      <w:sz w:val="24"/>
                      <w:szCs w:val="24"/>
                      <w:color w:val="000000"/>
                    </w:rPr>
                    <w:t>Counsel to Johns Hopkins on various matters.</w:t>
                  </w:r>
                  <w:r>
                    <w:rPr>
                      <w:lang w:val="en-US"/>
                      <w:u w:val="none"/>
                    </w:rPr>
                    <w:br/>
                  </w:r>
                  <w:r>
                    <w:rPr>
                      <w:lang w:val="en-US"/>
                      <w:u w:val="none"/>
                    </w:rPr>
                    <w:br/>
                  </w:r>
                  <w:r>
                    <w:rPr>
                      <w:lang w:val="en-US"/>
                      <w:rFonts w:ascii="Georgia" w:hAnsi="Georgia" w:cs="Georgia"/>
                      <w:u w:val="none"/>
                      <w:sz w:val="24"/>
                      <w:szCs w:val="24"/>
                      <w:color w:val="000000"/>
                    </w:rPr>
                    <w:t>Advise Methodist LeBonheur on creation of a major pediatric joint venture facility.</w:t>
                  </w:r>
                  <w:r>
                    <w:rPr>
                      <w:lang w:val="en-US"/>
                      <w:u w:val="none"/>
                    </w:rPr>
                    <w:br/>
                  </w:r>
                  <w:r>
                    <w:rPr>
                      <w:lang w:val="en-US"/>
                      <w:u w:val="none"/>
                    </w:rPr>
                    <w:br/>
                  </w:r>
                  <w:r>
                    <w:rPr>
                      <w:lang w:val="en-US"/>
                      <w:rFonts w:ascii="Georgia" w:hAnsi="Georgia" w:cs="Georgia"/>
                      <w:u w:val="none"/>
                      <w:sz w:val="24"/>
                      <w:szCs w:val="24"/>
                      <w:color w:val="000000"/>
                    </w:rPr>
                    <w:t>Counsel to the University of Minnesota in creating a "joint clinical enterprise" with Fairview Health Services.</w:t>
                  </w:r>
                  <w:r>
                    <w:rPr>
                      <w:lang w:val="en-US"/>
                      <w:u w:val="none"/>
                    </w:rPr>
                    <w:br/>
                  </w:r>
                  <w:r>
                    <w:rPr>
                      <w:lang w:val="en-US"/>
                      <w:u w:val="none"/>
                    </w:rPr>
                    <w:br/>
                  </w:r>
                  <w:r>
                    <w:rPr>
                      <w:lang w:val="en-US"/>
                      <w:rFonts w:ascii="Georgia" w:hAnsi="Georgia" w:cs="Georgia"/>
                      <w:u w:val="none"/>
                      <w:sz w:val="24"/>
                      <w:szCs w:val="24"/>
                      <w:color w:val="000000"/>
                    </w:rPr>
                    <w:t>Counsel to Vanderbilt University in spinoff of the entire Vanderbilt University Medical Center.</w:t>
                  </w:r>
                  <w:r>
                    <w:rPr>
                      <w:lang w:val="en-US"/>
                      <w:u w:val="none"/>
                    </w:rPr>
                    <w:br/>
                  </w:r>
                  <w:r>
                    <w:rPr>
                      <w:lang w:val="en-US"/>
                      <w:u w:val="none"/>
                    </w:rPr>
                    <w:br/>
                  </w:r>
                  <w:r>
                    <w:rPr>
                      <w:lang w:val="en-US"/>
                      <w:rFonts w:ascii="Georgia" w:hAnsi="Georgia" w:cs="Georgia"/>
                      <w:u w:val="none"/>
                      <w:sz w:val="24"/>
                      <w:szCs w:val="24"/>
                      <w:color w:val="000000"/>
                    </w:rPr>
                    <w:t>Transaction counsel in the combination of Wake Forest Baptist Medical Center and Atrium Health.</w:t>
                  </w:r>
                  <w:r>
                    <w:rPr>
                      <w:lang w:val="en-US"/>
                      <w:u w:val="none"/>
                    </w:rPr>
                    <w:br/>
                  </w:r>
                  <w:r>
                    <w:rPr>
                      <w:lang w:val="en-US"/>
                      <w:u w:val="none"/>
                    </w:rPr>
                    <w:br/>
                  </w:r>
                  <w:r>
                    <w:rPr>
                      <w:lang w:val="en-US"/>
                      <w:rFonts w:ascii="Georgia" w:hAnsi="Georgia" w:cs="Georgia"/>
                      <w:u w:val="none"/>
                      <w:sz w:val="24"/>
                      <w:szCs w:val="24"/>
                      <w:color w:val="000000"/>
                    </w:rPr>
                    <w:t>Counsel to Atrium Health in acquiring Navicent Health.</w:t>
                  </w:r>
                  <w:r>
                    <w:rPr>
                      <w:lang w:val="en-US"/>
                      <w:u w:val="none"/>
                    </w:rPr>
                    <w:br/>
                  </w:r>
                  <w:r>
                    <w:rPr>
                      <w:lang w:val="en-US"/>
                      <w:u w:val="none"/>
                    </w:rPr>
                    <w:br/>
                  </w:r>
                  <w:r>
                    <w:rPr>
                      <w:lang w:val="en-US"/>
                      <w:rFonts w:ascii="Georgia" w:hAnsi="Georgia" w:cs="Georgia"/>
                      <w:u w:val="none"/>
                      <w:sz w:val="24"/>
                      <w:szCs w:val="24"/>
                      <w:color w:val="000000"/>
                    </w:rPr>
                    <w:t>Counsel to Emory Healthcare on a variety of transactions.</w:t>
                  </w:r>
                  <w:r>
                    <w:rPr>
                      <w:lang w:val="en-US"/>
                      <w:u w:val="none"/>
                    </w:rPr>
                    <w:br/>
                  </w:r>
                  <w:r>
                    <w:rPr>
                      <w:lang w:val="en-US"/>
                      <w:u w:val="none"/>
                    </w:rPr>
                    <w:br/>
                  </w:r>
                  <w:r>
                    <w:rPr>
                      <w:lang w:val="en-US"/>
                      <w:rFonts w:ascii="Georgia" w:hAnsi="Georgia" w:cs="Georgia"/>
                      <w:u w:val="none"/>
                      <w:sz w:val="24"/>
                      <w:szCs w:val="24"/>
                      <w:color w:val="000000"/>
                    </w:rPr>
                    <w:t>Representing Penn State Hershey in an innovative joint venture with Highmark.</w:t>
                  </w:r>
                  <w:r>
                    <w:rPr>
                      <w:lang w:val="en-US"/>
                      <w:u w:val="none"/>
                    </w:rPr>
                    <w:br/>
                  </w:r>
                  <w:r>
                    <w:rPr>
                      <w:lang w:val="en-US"/>
                      <w:u w:val="none"/>
                    </w:rPr>
                    <w:br/>
                  </w:r>
                  <w:r>
                    <w:rPr>
                      <w:lang w:val="en-US"/>
                      <w:rFonts w:ascii="Georgia" w:hAnsi="Georgia" w:cs="Georgia"/>
                      <w:u w:val="none"/>
                      <w:sz w:val="24"/>
                      <w:szCs w:val="24"/>
                      <w:color w:val="000000"/>
                    </w:rPr>
                    <w:t>Counsel to University of Colorado Health in creating joint operating agreement with PVHS, and in acquiring (by lease) Memorial Hospital.</w:t>
                  </w:r>
                  <w:r>
                    <w:rPr>
                      <w:lang w:val="en-US"/>
                      <w:u w:val="none"/>
                    </w:rPr>
                    <w:br/>
                  </w:r>
                  <w:r>
                    <w:rPr>
                      <w:lang w:val="en-US"/>
                      <w:u w:val="none"/>
                    </w:rPr>
                    <w:br/>
                  </w:r>
                  <w:r>
                    <w:rPr>
                      <w:lang w:val="en-US"/>
                      <w:rFonts w:ascii="Georgia" w:hAnsi="Georgia" w:cs="Georgia"/>
                      <w:u w:val="none"/>
                      <w:sz w:val="24"/>
                      <w:szCs w:val="24"/>
                      <w:color w:val="000000"/>
                    </w:rPr>
                    <w:t>Counsel to Saint Louis University in purchasing its hospital back from Tenet and merging it with the SSM Health System.  Later, negotiated the sale of SLU’s faculty group practice to SSM.</w:t>
                  </w:r>
                  <w:r>
                    <w:rPr>
                      <w:lang w:val="en-US"/>
                      <w:u w:val="none"/>
                    </w:rPr>
                    <w:br/>
                  </w:r>
                  <w:r>
                    <w:rPr>
                      <w:lang w:val="en-US"/>
                      <w:u w:val="none"/>
                    </w:rPr>
                    <w:br/>
                  </w:r>
                  <w:r>
                    <w:rPr>
                      <w:lang w:val="en-US"/>
                      <w:rFonts w:ascii="Georgia" w:hAnsi="Georgia" w:cs="Georgia"/>
                      <w:u w:val="none"/>
                      <w:sz w:val="24"/>
                      <w:szCs w:val="24"/>
                      <w:color w:val="000000"/>
                    </w:rPr>
                    <w:t>Counsel to Georgetown University in its merger into MedStar Health.</w:t>
                  </w:r>
                  <w:r>
                    <w:rPr>
                      <w:lang w:val="en-US"/>
                      <w:u w:val="none"/>
                    </w:rPr>
                    <w:br/>
                  </w:r>
                  <w:r>
                    <w:rPr>
                      <w:lang w:val="en-US"/>
                      <w:u w:val="none"/>
                    </w:rPr>
                    <w:br/>
                  </w:r>
                  <w:r>
                    <w:rPr>
                      <w:lang w:val="en-US"/>
                      <w:rFonts w:ascii="Georgia" w:hAnsi="Georgia" w:cs="Georgia"/>
                      <w:u w:val="none"/>
                      <w:sz w:val="24"/>
                      <w:szCs w:val="24"/>
                      <w:color w:val="000000"/>
                    </w:rPr>
                    <w:t>Sale of Holy Spirit Health System to Geisinger Health Services.</w:t>
                  </w:r>
                  <w:r>
                    <w:rPr>
                      <w:lang w:val="en-US"/>
                      <w:u w:val="none"/>
                    </w:rPr>
                    <w:br/>
                  </w:r>
                  <w:r>
                    <w:rPr>
                      <w:lang w:val="en-US"/>
                      <w:u w:val="none"/>
                    </w:rPr>
                    <w:br/>
                  </w:r>
                  <w:r>
                    <w:rPr>
                      <w:lang w:val="en-US"/>
                      <w:rFonts w:ascii="Georgia" w:hAnsi="Georgia" w:cs="Georgia"/>
                      <w:u w:val="none"/>
                      <w:sz w:val="24"/>
                      <w:szCs w:val="24"/>
                      <w:color w:val="000000"/>
                    </w:rPr>
                    <w:t>Sale of Hamot Medical Center and Altoona Regional Healthcare to UPMC.</w:t>
                  </w:r>
                  <w:r>
                    <w:rPr>
                      <w:lang w:val="en-US"/>
                      <w:u w:val="none"/>
                    </w:rPr>
                    <w:br/>
                  </w:r>
                  <w:r>
                    <w:rPr>
                      <w:lang w:val="en-US"/>
                      <w:u w:val="none"/>
                    </w:rPr>
                    <w:br/>
                  </w:r>
                  <w:r>
                    <w:rPr>
                      <w:lang w:val="en-US"/>
                      <w:rFonts w:ascii="Georgia" w:hAnsi="Georgia" w:cs="Georgia"/>
                      <w:u w:val="none"/>
                      <w:sz w:val="24"/>
                      <w:szCs w:val="24"/>
                      <w:color w:val="000000"/>
                    </w:rPr>
                    <w:t>Restructuring of the Health Alliance of Greater Cincinnati.</w:t>
                  </w:r>
                  <w:r>
                    <w:rPr>
                      <w:lang w:val="en-US"/>
                      <w:u w:val="none"/>
                    </w:rPr>
                    <w:br/>
                  </w:r>
                  <w:r>
                    <w:rPr>
                      <w:lang w:val="en-US"/>
                      <w:u w:val="none"/>
                    </w:rPr>
                    <w:br/>
                  </w:r>
                  <w:r>
                    <w:rPr>
                      <w:lang w:val="en-US"/>
                      <w:rFonts w:ascii="Georgia" w:hAnsi="Georgia" w:cs="Georgia"/>
                      <w:u w:val="none"/>
                      <w:sz w:val="24"/>
                      <w:szCs w:val="24"/>
                      <w:color w:val="000000"/>
                    </w:rPr>
                    <w:t>Purchase of three hospitals by the State University of New York (SUNY) system.</w:t>
                  </w:r>
                  <w:r>
                    <w:rPr>
                      <w:lang w:val="en-US"/>
                      <w:u w:val="none"/>
                    </w:rPr>
                    <w:br/>
                  </w:r>
                  <w:r>
                    <w:rPr>
                      <w:lang w:val="en-US"/>
                      <w:u w:val="none"/>
                    </w:rPr>
                    <w:br/>
                  </w:r>
                  <w:r>
                    <w:rPr>
                      <w:lang w:val="en-US"/>
                      <w:rFonts w:ascii="Georgia" w:hAnsi="Georgia" w:cs="Georgia"/>
                      <w:u w:val="none"/>
                      <w:sz w:val="24"/>
                      <w:szCs w:val="24"/>
                      <w:color w:val="000000"/>
                    </w:rPr>
                    <w:t>Restructuring of the Nebraska Medical Center.</w:t>
                  </w:r>
                  <w:r>
                    <w:rPr>
                      <w:lang w:val="en-US"/>
                      <w:u w:val="none"/>
                    </w:rPr>
                    <w:br/>
                  </w:r>
                  <w:r>
                    <w:rPr>
                      <w:lang w:val="en-US"/>
                      <w:u w:val="none"/>
                    </w:rPr>
                    <w:br/>
                  </w:r>
                  <w:r>
                    <w:rPr>
                      <w:lang w:val="en-US"/>
                      <w:rFonts w:ascii="Georgia" w:hAnsi="Georgia" w:cs="Georgia"/>
                      <w:u w:val="none"/>
                      <w:sz w:val="24"/>
                      <w:szCs w:val="24"/>
                      <w:color w:val="000000"/>
                    </w:rPr>
                    <w:t>Counsel to University of Mississippi on several hospital transactions.</w:t>
                  </w:r>
                  <w:r>
                    <w:rPr>
                      <w:lang w:val="en-US"/>
                      <w:u w:val="none"/>
                    </w:rPr>
                    <w:br/>
                  </w:r>
                  <w:r>
                    <w:rPr>
                      <w:lang w:val="en-US"/>
                      <w:u w:val="none"/>
                    </w:rPr>
                    <w:br/>
                  </w:r>
                  <w:r>
                    <w:rPr>
                      <w:lang w:val="en-US"/>
                      <w:rFonts w:ascii="Georgia" w:hAnsi="Georgia" w:cs="Georgia"/>
                      <w:u w:val="none"/>
                      <w:sz w:val="24"/>
                      <w:szCs w:val="24"/>
                      <w:color w:val="000000"/>
                    </w:rPr>
                    <w:t>Advising a large health system on creating clinically integrated networks in a number of states.</w:t>
                  </w:r>
                  <w:r>
                    <w:rPr>
                      <w:lang w:val="en-US"/>
                      <w:u w:val="none"/>
                    </w:rPr>
                    <w:br/>
                  </w:r>
                  <w:r>
                    <w:rPr>
                      <w:lang w:val="en-US"/>
                      <w:u w:val="none"/>
                    </w:rPr>
                    <w:br/>
                  </w:r>
                  <w:r>
                    <w:rPr>
                      <w:lang w:val="en-US"/>
                      <w:rFonts w:ascii="Georgia" w:hAnsi="Georgia" w:cs="Georgia"/>
                      <w:u w:val="none"/>
                      <w:sz w:val="24"/>
                      <w:szCs w:val="24"/>
                      <w:color w:val="000000"/>
                    </w:rPr>
                    <w:t>Advise Children’s Health of Dallas on a reorganization and several affiliations.</w:t>
                  </w:r>
                  <w:r>
                    <w:rPr>
                      <w:lang w:val="en-US"/>
                      <w:u w:val="none"/>
                    </w:rPr>
                    <w:br/>
                  </w:r>
                  <w:r>
                    <w:rPr>
                      <w:lang w:val="en-US"/>
                      <w:u w:val="none"/>
                    </w:rPr>
                    <w:br/>
                  </w:r>
                  <w:r>
                    <w:rPr>
                      <w:lang w:val="en-US"/>
                      <w:rFonts w:ascii="Georgia" w:hAnsi="Georgia" w:cs="Georgia"/>
                      <w:u w:val="none"/>
                      <w:sz w:val="24"/>
                      <w:szCs w:val="24"/>
                      <w:color w:val="000000"/>
                    </w:rPr>
                    <w:t>Counsel to University of Miami in purchasing Cedars Medical Center.</w:t>
                  </w:r>
                  <w:r>
                    <w:rPr>
                      <w:lang w:val="en-US"/>
                      <w:u w:val="none"/>
                    </w:rPr>
                    <w:br/>
                  </w:r>
                  <w:r>
                    <w:rPr>
                      <w:lang w:val="en-US"/>
                      <w:u w:val="none"/>
                    </w:rPr>
                    <w:br/>
                  </w:r>
                  <w:r>
                    <w:rPr>
                      <w:lang w:val="en-US"/>
                      <w:rFonts w:ascii="Georgia" w:hAnsi="Georgia" w:cs="Georgia"/>
                      <w:u w:val="none"/>
                      <w:sz w:val="24"/>
                      <w:szCs w:val="24"/>
                      <w:color w:val="000000"/>
                    </w:rPr>
                    <w:t>Creation of a managed care company in Hawaii; sale of an HMO in Indiana, sale of a health plan in Connecticut, purchase of a health plan in West Virginia.</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MVP:  Health Care, </w:t>
                  </w:r>
                  <w:r>
                    <w:rPr>
                      <w:lang w:val="en-US"/>
                      <w:rFonts w:ascii="Georgia" w:hAnsi="Georgia" w:cs="Georgia"/>
                      <w:i/>
                      <w:u w:val="none"/>
                      <w:sz w:val="24"/>
                      <w:szCs w:val="24"/>
                      <w:color w:val="000000"/>
                    </w:rPr>
                    <w:t>Law 360</w:t>
                  </w:r>
                  <w:r>
                    <w:rPr>
                      <w:rFonts w:ascii="Georgia" w:hAnsi="Georgia" w:cs="Georgia"/>
                      <w:sz w:val="24"/>
                      <w:szCs w:val="24"/>
                    </w:rPr>
                    <w:t>, 2023</w:t>
                  </w:r>
                </w:p>
              </w:tc>
            </w:tr>
            <w:tr>
              <w:tc>
                <w:tcPr>
                  <w:tcW w:w="5846.4" w:type="dxa"/>
                </w:tcPr>
                <w:p>
                  <w:pPr/>
                </w:p>
                <w:p>
                  <w:pPr>
                    <w:numPr>
                      <w:ilvl w:val="0"/>
                      <w:numId w:val="5"/>
                    </w:numPr>
                    <w:spacing w:after="0"/>
                  </w:pPr>
                  <w:r>
                    <w:rPr>
                      <w:rFonts w:ascii="Georgia" w:hAnsi="Georgia" w:cs="Georgia"/>
                      <w:sz w:val="24"/>
                      <w:szCs w:val="24"/>
                    </w:rPr>
                    <w:t xml:space="preserve">Practice Group of the Year for Health Care, </w:t>
                  </w:r>
                  <w:r>
                    <w:rPr>
                      <w:lang w:val="en-US"/>
                      <w:rFonts w:ascii="Georgia" w:hAnsi="Georgia" w:cs="Georgia"/>
                      <w:i/>
                      <w:u w:val="none"/>
                      <w:sz w:val="24"/>
                      <w:szCs w:val="24"/>
                      <w:color w:val="000000"/>
                    </w:rPr>
                    <w:t>Law 360</w:t>
                  </w:r>
                  <w:r>
                    <w:rPr>
                      <w:rFonts w:ascii="Georgia" w:hAnsi="Georgia" w:cs="Georgia"/>
                      <w:sz w:val="24"/>
                      <w:szCs w:val="24"/>
                    </w:rPr>
                    <w:t>, 2023</w:t>
                  </w:r>
                </w:p>
              </w:tc>
            </w:tr>
            <w:tr>
              <w:tc>
                <w:tcPr>
                  <w:tcW w:w="5846.4" w:type="dxa"/>
                </w:tcPr>
                <w:p>
                  <w:pPr/>
                </w:p>
                <w:p>
                  <w:pPr>
                    <w:numPr>
                      <w:ilvl w:val="0"/>
                      <w:numId w:val="6"/>
                    </w:numPr>
                    <w:spacing w:after="0"/>
                  </w:pPr>
                  <w:r>
                    <w:rPr>
                      <w:rFonts w:ascii="Georgia" w:hAnsi="Georgia" w:cs="Georgia"/>
                      <w:sz w:val="24"/>
                      <w:szCs w:val="24"/>
                    </w:rPr>
                    <w:t xml:space="preserve">Healthcare:  Service Providers, Hall of Fame, </w:t>
                  </w:r>
                  <w:r>
                    <w:rPr>
                      <w:lang w:val="en-US"/>
                      <w:rFonts w:ascii="Georgia" w:hAnsi="Georgia" w:cs="Georgia"/>
                      <w:i/>
                      <w:u w:val="none"/>
                      <w:sz w:val="24"/>
                      <w:szCs w:val="24"/>
                      <w:color w:val="000000"/>
                    </w:rPr>
                    <w:t>Legal 500 US</w:t>
                  </w:r>
                  <w:r>
                    <w:rPr>
                      <w:rFonts w:ascii="Georgia" w:hAnsi="Georgia" w:cs="Georgia"/>
                      <w:sz w:val="24"/>
                      <w:szCs w:val="24"/>
                    </w:rPr>
                    <w:t>, 2018-2022</w:t>
                  </w:r>
                </w:p>
              </w:tc>
            </w:tr>
            <w:tr>
              <w:tc>
                <w:tcPr>
                  <w:tcW w:w="5846.4" w:type="dxa"/>
                </w:tcPr>
                <w:p>
                  <w:pPr/>
                </w:p>
                <w:p>
                  <w:pPr>
                    <w:numPr>
                      <w:ilvl w:val="0"/>
                      <w:numId w:val="7"/>
                    </w:numPr>
                    <w:spacing w:after="0"/>
                  </w:pPr>
                  <w:r>
                    <w:rPr>
                      <w:rFonts w:ascii="Georgia" w:hAnsi="Georgia" w:cs="Georgia"/>
                      <w:sz w:val="24"/>
                      <w:szCs w:val="24"/>
                    </w:rPr>
                    <w:t xml:space="preserve">Healthcare (District of Columbia), Rank 3, </w:t>
                  </w:r>
                  <w:r>
                    <w:rPr>
                      <w:lang w:val="en-US"/>
                      <w:rFonts w:ascii="Georgia" w:hAnsi="Georgia" w:cs="Georgia"/>
                      <w:i/>
                      <w:u w:val="none"/>
                      <w:sz w:val="24"/>
                      <w:szCs w:val="24"/>
                      <w:color w:val="000000"/>
                    </w:rPr>
                    <w:t>Chambers USA</w:t>
                  </w:r>
                  <w:r>
                    <w:rPr>
                      <w:rFonts w:ascii="Georgia" w:hAnsi="Georgia" w:cs="Georgia"/>
                      <w:sz w:val="24"/>
                      <w:szCs w:val="24"/>
                    </w:rPr>
                    <w:t>, 2017-2022</w:t>
                  </w:r>
                </w:p>
              </w:tc>
            </w:tr>
            <w:tr>
              <w:tc>
                <w:tcPr>
                  <w:tcW w:w="5846.4" w:type="dxa"/>
                </w:tcPr>
                <w:p>
                  <w:pPr/>
                </w:p>
                <w:p>
                  <w:pPr>
                    <w:numPr>
                      <w:ilvl w:val="0"/>
                      <w:numId w:val="8"/>
                    </w:numPr>
                    <w:spacing w:after="0"/>
                  </w:pPr>
                  <w:r>
                    <w:rPr>
                      <w:rFonts w:ascii="Georgia" w:hAnsi="Georgia" w:cs="Georgia"/>
                      <w:sz w:val="24"/>
                      <w:szCs w:val="24"/>
                    </w:rPr>
                    <w:t xml:space="preserve">Acritas Star, </w:t>
                  </w:r>
                  <w:r>
                    <w:rPr>
                      <w:lang w:val="en-US"/>
                      <w:rFonts w:ascii="Georgia" w:hAnsi="Georgia" w:cs="Georgia"/>
                      <w:i/>
                      <w:u w:val="none"/>
                      <w:sz w:val="24"/>
                      <w:szCs w:val="24"/>
                      <w:color w:val="000000"/>
                    </w:rPr>
                    <w:t>Acritas Stars Independently Rated Lawyers</w:t>
                  </w:r>
                  <w:r>
                    <w:rPr>
                      <w:rFonts w:ascii="Georgia" w:hAnsi="Georgia" w:cs="Georgia"/>
                      <w:sz w:val="24"/>
                      <w:szCs w:val="24"/>
                    </w:rPr>
                    <w:t>, 2017-2020</w:t>
                  </w:r>
                </w:p>
              </w:tc>
            </w:tr>
            <w:tr>
              <w:tc>
                <w:tcPr>
                  <w:tcW w:w="5846.4" w:type="dxa"/>
                </w:tcPr>
                <w:p>
                  <w:pPr/>
                </w:p>
                <w:p>
                  <w:pPr>
                    <w:numPr>
                      <w:ilvl w:val="0"/>
                      <w:numId w:val="9"/>
                    </w:numPr>
                    <w:spacing w:after="0"/>
                  </w:pPr>
                  <w:r>
                    <w:rPr>
                      <w:rFonts w:ascii="Georgia" w:hAnsi="Georgia" w:cs="Georgia"/>
                      <w:sz w:val="24"/>
                      <w:szCs w:val="24"/>
                    </w:rPr>
                    <w:t xml:space="preserve">Healthcare:  Service Providers, Leading Lawyer, </w:t>
                  </w:r>
                  <w:r>
                    <w:rPr>
                      <w:lang w:val="en-US"/>
                      <w:rFonts w:ascii="Georgia" w:hAnsi="Georgia" w:cs="Georgia"/>
                      <w:i/>
                      <w:u w:val="none"/>
                      <w:sz w:val="24"/>
                      <w:szCs w:val="24"/>
                      <w:color w:val="000000"/>
                    </w:rPr>
                    <w:t>Legal 500 US</w:t>
                  </w:r>
                  <w:r>
                    <w:rPr>
                      <w:rFonts w:ascii="Georgia" w:hAnsi="Georgia" w:cs="Georgia"/>
                      <w:sz w:val="24"/>
                      <w:szCs w:val="24"/>
                    </w:rPr>
                    <w:t>, 2013-2018</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represents Kaiser Foundation Hospitals in its launch of Risant Health and in its acquisition of Geisinger Health</w:t>
                  </w:r>
                  <w:r>
                    <w:rPr>
                      <w:rFonts w:ascii="Georgia" w:hAnsi="Georgia" w:cs="Georgia"/>
                      <w:sz w:val="20"/>
                      <w:szCs w:val="20"/>
                    </w:rPr>
                    <w:br/>
                  </w:r>
                  <w:r>
                    <w:rPr>
                      <w:rFonts w:ascii="Georgia" w:hAnsi="Georgia" w:cs="Georgia"/>
                      <w:sz w:val="20"/>
                      <w:szCs w:val="20"/>
                    </w:rPr>
                    <w:t>09 April 2024</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counsels Meharry and The Diaspora Human Genomics Institute in academic-industry collaboration to promote genomics research equity</w:t>
                  </w:r>
                  <w:r>
                    <w:rPr>
                      <w:rFonts w:ascii="Georgia" w:hAnsi="Georgia" w:cs="Georgia"/>
                      <w:sz w:val="20"/>
                      <w:szCs w:val="20"/>
                    </w:rPr>
                    <w:br/>
                  </w:r>
                  <w:r>
                    <w:rPr>
                      <w:rFonts w:ascii="Georgia" w:hAnsi="Georgia" w:cs="Georgia"/>
                      <w:sz w:val="20"/>
                      <w:szCs w:val="20"/>
                    </w:rPr>
                    <w:t>31 October 2023</w:t>
                  </w:r>
                </w:p>
              </w:tc>
            </w:tr>
            <w:tr>
              <w:tc>
                <w:tcPr>
                  <w:tcW w:w="5846.4" w:type="dxa"/>
                </w:tcPr>
                <w:p>
                  <w:pPr>
                    <w:spacing w:after="220"/>
                  </w:pPr>
                  <w:r>
                    <w:rPr>
                      <w:lang w:val="en-US"/>
                      <w:rFonts w:ascii="Georgia" w:hAnsi="Georgia" w:cs="Georgia"/>
                      <w:u w:val="none"/>
                      <w:sz w:val="24"/>
                      <w:szCs w:val="24"/>
                      <w:color w:val="58A618"/>
                    </w:rPr>
                    <w:t>Awards &amp; rankings</w:t>
                  </w:r>
                  <w:r>
                    <w:rPr>
                      <w:rFonts w:ascii="Georgia" w:hAnsi="Georgia" w:cs="Georgia"/>
                      <w:sz w:val="24"/>
                      <w:szCs w:val="24"/>
                    </w:rPr>
                    <w:br/>
                  </w:r>
                  <w:r>
                    <w:rPr>
                      <w:rFonts w:ascii="Georgia" w:hAnsi="Georgia" w:cs="Georgia"/>
                      <w:sz w:val="24"/>
                      <w:szCs w:val="24"/>
                    </w:rPr>
                    <w:t>Hogan Lovells celebrates as a record eight partners are selected among Law360’s MVPs</w:t>
                  </w:r>
                  <w:r>
                    <w:rPr>
                      <w:rFonts w:ascii="Georgia" w:hAnsi="Georgia" w:cs="Georgia"/>
                      <w:sz w:val="20"/>
                      <w:szCs w:val="20"/>
                    </w:rPr>
                    <w:br/>
                  </w:r>
                  <w:r>
                    <w:rPr>
                      <w:rFonts w:ascii="Georgia" w:hAnsi="Georgia" w:cs="Georgia"/>
                      <w:sz w:val="20"/>
                      <w:szCs w:val="20"/>
                    </w:rPr>
                    <w:t>03 October 2023</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f593ae3c7b4e14"/>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+1 202 637 5699</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+1 202 637 5910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dd1492229fd745ba" w:history="1">
                    <w:r>
                      <w:rPr>
                        <w:rStyle w:val="Hyperlink"/>
                        <w:rFonts w:ascii="Georgia" w:hAnsi="Georgia" w:cs="Georgia"/>
                        <w:sz w:val="22"/>
                        <w:szCs w:val="22"/>
                        <w:u w:val="none"/>
                      </w:rPr>
                      <w:t>clifford.stromberg@hoganlovells.com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p w:rsidR="00D66ED7" w:rsidRPr="00F20A7A" w:rsidRDefault="00D66ED7">
            <w:pPr>
              <w:rPr>
                <w:sz w:val="4"/>
                <w:szCs w:val="4"/>
              </w:rPr>
            </w:pPr>
          </w:p>
          <w:p w:rsidR="00423DCE" w:rsidRPr="007007D0" w:rsidRDefault="00423DCE">
            <w:pPr>
              <w:rPr>
                <w:b w:val="0"/>
                <w:bCs w:val="0"/>
                <w:sz w:val="2"/>
                <w:szCs w:val="2"/>
              </w:rPr>
            </w:pPr>
          </w:p>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a9fac8c0d9bb4733" w:history="1">
                    <w:r>
                      <w:rPr>
                        <w:rStyle w:val="Hyperlink"/>
                        <w:rFonts w:ascii="Georgia" w:hAnsi="Georgia" w:cs="Georgia"/>
                        <w:sz w:val="24"/>
                        <w:szCs w:val="24"/>
                      </w:rPr>
                      <w:t>Health</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f6a5d0fc25234874" w:history="1">
                    <w:r>
                      <w:rPr>
                        <w:rStyle w:val="Hyperlink"/>
                        <w:rFonts w:ascii="Georgia" w:hAnsi="Georgia" w:cs="Georgia"/>
                        <w:sz w:val="24"/>
                        <w:szCs w:val="24"/>
                      </w:rPr>
                      <w:t>Life Sciences and Health Care</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c871eba8b4d44e97" w:history="1">
                    <w:r>
                      <w:rPr>
                        <w:rStyle w:val="Hyperlink"/>
                        <w:rFonts w:ascii="Georgia" w:hAnsi="Georgia" w:cs="Georgia"/>
                        <w:sz w:val="24"/>
                        <w:szCs w:val="24"/>
                      </w:rPr>
                      <w:t>Hospitals and Health Care Providers</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J.D., Harvard Law School, Board of Editors, Harvard Law Review</w:t>
                  </w:r>
                </w:p>
              </w:tc>
            </w:tr>
            <w:tr>
              <w:tc>
                <w:tcPr>
                  <w:tcW w:w="3686.4" w:type="dxa"/>
                </w:tcPr>
                <w:p>
                  <w:pPr>
                    <w:spacing w:after="220"/>
                  </w:pPr>
                  <w:r>
                    <w:rPr>
                      <w:lang w:val="en-US"/>
                      <w:rFonts w:ascii="Georgia" w:hAnsi="Georgia" w:cs="Georgia"/>
                      <w:u w:val="none"/>
                      <w:sz w:val="24"/>
                      <w:szCs w:val="24"/>
                      <w:color w:val="000000"/>
                    </w:rPr>
                    <w:t>B.A., Yale University, summa cum laude, Phi Beta Kappa, National Merit Scholarship</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7_Memberships"/>
            </w:tblPr>
            <w:tblGrid>
              <w:gridCol w:w="3684"/>
            </w:tblGrid>
            <w:tr w:rsidR="004A1494" w:rsidTr="003A43D4">
              <w:tc>
                <w:tcPr>
                  <w:tcW w:w="3684" w:type="dxa"/>
                </w:tcPr>
                <w:p w:rsidR="004A1494" w:rsidRPr="00F90870" w:rsidRDefault="004A1494">
                  <w:pPr>
                    <w:rPr>
                      <w:sz w:val="44"/>
                      <w:szCs w:val="44"/>
                    </w:rPr>
                  </w:pPr>
                  <w:r>
                    <w:rPr>
                      <w:lang w:val="en-US"/>
                      <w:rFonts w:ascii="Calibri" w:hAnsi="Calibri" w:cs="Calibri"/>
                      <w:u w:val="none"/>
                      <w:sz w:val="40"/>
                      <w:szCs w:val="40"/>
                      <w:color w:val="58A618"/>
                    </w:rPr>
                    <w:t>Memberships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8_MembershipsList"/>
            </w:tblPr>
            <w:tblGrid>
              <w:gridCol w:w="3684"/>
            </w:tblGrid>
            <w:tr>
              <w:tc>
                <w:tcPr>
                  <w:tcW w:w="3686.4" w:type="dxa"/>
                </w:tcPr>
                <w:p>
                  <w:pPr>
                    <w:spacing w:after="220"/>
                  </w:pPr>
                  <w:r>
                    <w:rPr>
                      <w:lang w:val="en-US"/>
                      <w:rFonts w:ascii="Georgia" w:hAnsi="Georgia" w:cs="Georgia"/>
                      <w:u w:val="none"/>
                      <w:sz w:val="24"/>
                      <w:szCs w:val="24"/>
                      <w:color w:val="000000"/>
                    </w:rPr>
                    <w:t>Former Chair, Working Group on Health Care Reform, ABA</w:t>
                  </w:r>
                </w:p>
              </w:tc>
            </w:tr>
            <w:tr>
              <w:tc>
                <w:tcPr>
                  <w:tcW w:w="3686.4" w:type="dxa"/>
                </w:tcPr>
                <w:p>
                  <w:pPr>
                    <w:spacing w:after="220"/>
                  </w:pPr>
                  <w:r>
                    <w:rPr>
                      <w:lang w:val="en-US"/>
                      <w:rFonts w:ascii="Georgia" w:hAnsi="Georgia" w:cs="Georgia"/>
                      <w:u w:val="none"/>
                      <w:sz w:val="24"/>
                      <w:szCs w:val="24"/>
                      <w:color w:val="000000"/>
                    </w:rPr>
                    <w:t>Former Governing Board Member, ABA Section of Health Law</w:t>
                  </w:r>
                </w:p>
              </w:tc>
            </w:tr>
            <w:tr>
              <w:tc>
                <w:tcPr>
                  <w:tcW w:w="3686.4" w:type="dxa"/>
                </w:tcPr>
                <w:p>
                  <w:pPr>
                    <w:spacing w:after="220"/>
                  </w:pPr>
                  <w:r>
                    <w:rPr>
                      <w:lang w:val="en-US"/>
                      <w:rFonts w:ascii="Georgia" w:hAnsi="Georgia" w:cs="Georgia"/>
                      <w:u w:val="none"/>
                      <w:sz w:val="24"/>
                      <w:szCs w:val="24"/>
                      <w:color w:val="000000"/>
                    </w:rPr>
                    <w:t>Former Advisory Committee Member, Governmental Affairs, ABA</w:t>
                  </w:r>
                </w:p>
              </w:tc>
            </w:tr>
            <w:tr>
              <w:tc>
                <w:tcPr>
                  <w:tcW w:w="3686.4" w:type="dxa"/>
                </w:tcPr>
                <w:p>
                  <w:pPr>
                    <w:spacing w:after="220"/>
                  </w:pPr>
                  <w:r>
                    <w:rPr>
                      <w:lang w:val="en-US"/>
                      <w:rFonts w:ascii="Georgia" w:hAnsi="Georgia" w:cs="Georgia"/>
                      <w:u w:val="none"/>
                      <w:sz w:val="24"/>
                      <w:szCs w:val="24"/>
                      <w:color w:val="000000"/>
                    </w:rPr>
                    <w:t>Former Chair, Section of Civil Liberties and Social Justice, ABA</w:t>
                  </w:r>
                </w:p>
              </w:tc>
            </w:tr>
            <w:tr>
              <w:tc>
                <w:tcPr>
                  <w:tcW w:w="3686.4" w:type="dxa"/>
                </w:tcPr>
                <w:p>
                  <w:pPr>
                    <w:spacing w:after="220"/>
                  </w:pPr>
                  <w:r>
                    <w:rPr>
                      <w:lang w:val="en-US"/>
                      <w:rFonts w:ascii="Georgia" w:hAnsi="Georgia" w:cs="Georgia"/>
                      <w:u w:val="none"/>
                      <w:sz w:val="24"/>
                      <w:szCs w:val="24"/>
                      <w:color w:val="000000"/>
                    </w:rPr>
                    <w:t>Former State Membership Chairman, District of Columbia, ABA</w:t>
                  </w:r>
                </w:p>
              </w:tc>
            </w:tr>
            <w:tr>
              <w:tc>
                <w:tcPr>
                  <w:tcW w:w="3686.4" w:type="dxa"/>
                </w:tcPr>
                <w:p>
                  <w:pPr>
                    <w:spacing w:after="220"/>
                  </w:pPr>
                  <w:r>
                    <w:rPr>
                      <w:lang w:val="en-US"/>
                      <w:rFonts w:ascii="Georgia" w:hAnsi="Georgia" w:cs="Georgia"/>
                      <w:u w:val="none"/>
                      <w:sz w:val="24"/>
                      <w:szCs w:val="24"/>
                      <w:color w:val="000000"/>
                    </w:rPr>
                    <w:t>Life Fellow, American Bar Foundation</w:t>
                  </w:r>
                </w:p>
              </w:tc>
            </w:tr>
            <w:tr>
              <w:tc>
                <w:tcPr>
                  <w:tcW w:w="3686.4" w:type="dxa"/>
                </w:tcPr>
                <w:p>
                  <w:pPr>
                    <w:spacing w:after="220"/>
                  </w:pPr>
                  <w:r>
                    <w:rPr>
                      <w:lang w:val="en-US"/>
                      <w:rFonts w:ascii="Georgia" w:hAnsi="Georgia" w:cs="Georgia"/>
                      <w:u w:val="none"/>
                      <w:sz w:val="24"/>
                      <w:szCs w:val="24"/>
                      <w:color w:val="000000"/>
                    </w:rPr>
                    <w:t>Member, American Health Lawyers Association</w:t>
                  </w:r>
                </w:p>
              </w:tc>
            </w:tr>
            <w:tr>
              <w:tc>
                <w:tcPr>
                  <w:tcW w:w="3686.4" w:type="dxa"/>
                </w:tcPr>
                <w:p>
                  <w:pPr>
                    <w:spacing w:after="220"/>
                  </w:pPr>
                  <w:r>
                    <w:rPr>
                      <w:lang w:val="en-US"/>
                      <w:rFonts w:ascii="Georgia" w:hAnsi="Georgia" w:cs="Georgia"/>
                      <w:u w:val="none"/>
                      <w:sz w:val="24"/>
                      <w:szCs w:val="24"/>
                      <w:color w:val="000000"/>
                    </w:rPr>
                    <w:t>Member, National Association of College and University Attorneys</w:t>
                  </w:r>
                </w:p>
              </w:tc>
            </w:tr>
          </w:tbl>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9_border7"/>
            </w:tblPr>
            <w:tblGrid>
              <w:gridCol w:w="3684"/>
            </w:tblGrid>
            <w:tr w:rsidR="00BF719B" w:rsidRPr="00BF719B" w:rsidTr="00FE240B">
              <w:trPr>
                <w:trHeight w:val="158"/>
              </w:trPr>
              <w:tc>
                <w:tcPr>
                  <w:tcW w:w="3684" w:type="dxa"/>
                </w:tcPr>
                <w:p w:rsidR="00BF719B" w:rsidRPr="00D932FF" w:rsidRDefault="00BF719B">
                  <w:pPr>
                    <w:rPr>
                      <w:sz w:val="16"/>
                      <w:szCs w:val="16"/>
                    </w:rPr>
                  </w:pPr>
                  <w:r w:rsidRPr="00D932FF">
                    <w:rPr>
                      <w:noProof/>
                      <w:color w:val="E7E6E6" w:themeColor="background2"/>
                      <w:sz w:val="16"/>
                      <w:szCs w:val="16"/>
                    </w:rPr>
                    <mc:AlternateContent>
                      <mc:Choice Requires="wps">
                        <w:drawing>
                          <wp:anchor distT="0" distB="0" distL="114300" distR="114300" simplePos="0" relativeHeight="251693056" behindDoc="0" locked="0" layoutInCell="1" allowOverlap="1" wp14:anchorId="073BD4AC" wp14:editId="1D5A7BB7">
                            <wp:simplePos x="0" y="0"/>
                            <wp:positionH relativeFrom="column">
                              <wp:posOffset>-12700</wp:posOffset>
                            </wp:positionH>
                            <wp:positionV relativeFrom="paragraph">
                              <wp:posOffset>69215</wp:posOffset>
                            </wp:positionV>
                            <wp:extent cx="22288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05EB12" id="Straight Connector 1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5.45pt" to="17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" strokecolor="#ccc" strokeweight="1.5pt">
                            <v:stroke joinstyle="miter"/>
                          </v:line>
                        </w:pict>
                      </mc:Fallback>
                    </mc:AlternateConten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0_Bar admissions and qualifications"/>
            </w:tblPr>
            <w:tblGrid>
              <w:gridCol w:w="3684"/>
            </w:tblGrid>
            <w:tr w:rsidR="0079721B" w:rsidTr="003A43D4">
              <w:trPr>
                <w:trHeight w:val="199"/>
              </w:trPr>
              <w:tc>
                <w:tcPr>
                  <w:tcW w:w="3684" w:type="dxa"/>
                </w:tcPr>
                <w:p w:rsidR="0079721B" w:rsidRPr="00E2312E" w:rsidRDefault="0079721B" w:rsidP="0079721B">
                  <w:pPr>
                    <w:rPr>
                      <w:color w:val="58A618"/>
                      <w:sz w:val="44"/>
                      <w:szCs w:val="44"/>
                    </w:rPr>
                  </w:pPr>
                  <w:bookmarkStart w:id="2" w:name="_GoBack"/>
                  <w:bookmarkEnd w:id="2"/>
                  <w:r>
                    <w:rPr>
                      <w:lang w:val="en-US"/>
                      <w:rFonts w:ascii="Calibri" w:hAnsi="Calibri" w:cs="Calibri"/>
                      <w:u w:val="none"/>
                      <w:sz w:val="40"/>
                      <w:szCs w:val="40"/>
                      <w:color w:val="58A618"/>
                    </w:rPr>
                    <w:t>Bar admissions and qualifications</w: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1_BaradmissionsList"/>
            </w:tblPr>
            <w:tblGrid>
              <w:gridCol w:w="3684"/>
            </w:tblGrid>
            <w:tr>
              <w:tc>
                <w:tcPr>
                  <w:tcW w:w="3686.4" w:type="dxa"/>
                </w:tcPr>
                <w:p>
                  <w:pPr>
                    <w:spacing w:after="220"/>
                  </w:pPr>
                  <w:r>
                    <w:rPr>
                      <w:lang w:val="en-US"/>
                      <w:rFonts w:ascii="Georgia" w:hAnsi="Georgia" w:cs="Georgia"/>
                      <w:u w:val="none"/>
                      <w:sz w:val="24"/>
                      <w:szCs w:val="24"/>
                      <w:color w:val="000000"/>
                    </w:rPr>
                    <w:t>District of Columbia</w:t>
                  </w:r>
                </w:p>
              </w:tc>
            </w:tr>
          </w:tbl>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2_border8"/>
            </w:tblPr>
            <w:tblGrid>
              <w:gridCol w:w="3686"/>
            </w:tblGrid>
            <w:tr w:rsidR="00623210" w:rsidTr="00FE240B">
              <w:trPr>
                <w:trHeight w:val="158"/>
              </w:trPr>
              <w:tc>
                <w:tcPr>
                  <w:tcW w:w="3684" w:type="dxa"/>
                </w:tcPr>
                <w:p w:rsidR="00623210" w:rsidRPr="00D932FF" w:rsidRDefault="00623210" w:rsidP="00623210">
                  <w:pPr>
                    <w:rPr>
                      <w:sz w:val="16"/>
                      <w:szCs w:val="16"/>
                    </w:rPr>
                  </w:pPr>
                  <w:r w:rsidRPr="00D932FF">
                    <w:rPr>
                      <w:noProof/>
                      <w:color w:val="E7E6E6" w:themeColor="background2"/>
                      <w:sz w:val="16"/>
                      <w:szCs w:val="16"/>
                    </w:rPr>
                    <mc:AlternateContent>
                      <mc:Choice Requires="wps">
                        <w:drawing>
                          <wp:anchor distT="0" distB="0" distL="114300" distR="114300" simplePos="0" relativeHeight="251682816" behindDoc="0" locked="0" layoutInCell="1" allowOverlap="1" wp14:anchorId="3348DBEB" wp14:editId="0D29A84E">
                            <wp:simplePos x="0" y="0"/>
                            <wp:positionH relativeFrom="column">
                              <wp:posOffset>-12700</wp:posOffset>
                            </wp:positionH>
                            <wp:positionV relativeFrom="paragraph">
                              <wp:posOffset>38101</wp:posOffset>
                            </wp:positionV>
                            <wp:extent cx="22193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455E4C" id="Straight Connector 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pt" to="17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" strokecolor="#ccc" strokeweight="1.5pt">
                            <v:stroke joinstyle="miter"/>
                          </v:line>
                        </w:pict>
                      </mc:Fallback>
                    </mc:AlternateContent>
                  </w:r>
                </w:p>
              </w:tc>
            </w:tr>
          </w:tbl>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6_Accolades"/>
            </w:tblPr>
            <w:tblGrid>
              <w:gridCol w:w="3684"/>
            </w:tblGrid>
            <w:tr w:rsidR="00D74D97" w:rsidTr="003A43D4">
              <w:trPr>
                <w:trHeight w:val="287"/>
              </w:trPr>
              <w:tc>
                <w:tcPr>
                  <w:tcW w:w="3684" w:type="dxa"/>
                </w:tcPr>
                <w:p w:rsidR="00D74D97" w:rsidRDefault="00D74D97">
                  <w:r>
                    <w:rPr>
                      <w:lang w:val="en-US"/>
                      <w:rFonts w:ascii="Calibri" w:hAnsi="Calibri" w:cs="Calibri"/>
                      <w:u w:val="none"/>
                      <w:sz w:val="40"/>
                      <w:szCs w:val="40"/>
                      <w:color w:val="58A618"/>
                    </w:rPr>
                    <w:t>Accolades</w:t>
                  </w:r>
                </w:p>
              </w:tc>
            </w:tr>
          </w:tbl>
          <w:p w:rsidR="001A7332" w:rsidRPr="001A7332" w:rsidRDefault="001A7332">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7_QuotesList"/>
            </w:tblPr>
            <w:tblGrid>
              <w:gridCol w:w="3686"/>
            </w:tblGrid>
            <w:tr>
              <w:tc>
                <w:tcPr>
                  <w:tcW w:w="3686.4" w:type="dxa"/>
                </w:tcPr>
                <w:p>
                  <w:pPr>
                    <w:spacing w:after="120"/>
                  </w:pPr>
                  <w:r>
                    <w:rPr>
                      <w:lang w:val="en-US"/>
                      <w:rFonts w:ascii="Georgia" w:hAnsi="Georgia" w:cs="Georgia"/>
                      <w:u w:val="none"/>
                      <w:sz w:val="24"/>
                      <w:szCs w:val="24"/>
                      <w:color w:val="000000"/>
                    </w:rPr>
                    <w:t>He is extraordinarily bright and experienced, and immediately accessible.</w:t>
                  </w:r>
                </w:p>
                <w:p>
                  <w:pPr>
                    <w:jc w:val="right"/>
                    <w:spacing w:after="300"/>
                  </w:pPr>
                  <w:r>
                    <w:rPr>
                      <w:lang w:val="en-US"/>
                      <w:u w:val="none"/>
                      <w:i/>
                      <w:rFonts w:ascii="Georgia" w:hAnsi="Georgia" w:cs="Georgia"/>
                      <w:sz w:val="24"/>
                      <w:szCs w:val="24"/>
                    </w:rPr>
                    <w:t>Chambers USA 2020</w:t>
                  </w:r>
                </w:p>
              </w:tc>
            </w:tr>
            <w:tr>
              <w:tc>
                <w:tcPr>
                  <w:tcW w:w="3686.4" w:type="dxa"/>
                </w:tcPr>
                <w:p>
                  <w:pPr>
                    <w:spacing w:after="120"/>
                  </w:pPr>
                  <w:r>
                    <w:rPr>
                      <w:lang w:val="en-US"/>
                      <w:rFonts w:ascii="Georgia" w:hAnsi="Georgia" w:cs="Georgia"/>
                      <w:u w:val="none"/>
                      <w:sz w:val="24"/>
                      <w:szCs w:val="24"/>
                      <w:color w:val="000000"/>
                    </w:rPr>
                    <w:t>In naming Hogan Lovells as one of the "most innovative" law firms, cited as one example Cliff's ability at "managing complexity and scale" in a large hospital transaction.</w:t>
                  </w:r>
                </w:p>
                <w:p>
                  <w:pPr>
                    <w:jc w:val="right"/>
                    <w:spacing w:after="300"/>
                  </w:pPr>
                  <w:r>
                    <w:rPr>
                      <w:lang w:val="en-US"/>
                      <w:u w:val="none"/>
                      <w:i/>
                      <w:rFonts w:ascii="Georgia" w:hAnsi="Georgia" w:cs="Georgia"/>
                      <w:sz w:val="24"/>
                      <w:szCs w:val="24"/>
                    </w:rPr>
                    <w:t>Financial Times</w:t>
                  </w:r>
                </w:p>
              </w:tc>
            </w:tr>
            <w:tr>
              <w:tc>
                <w:tcPr>
                  <w:tcW w:w="3686.4" w:type="dxa"/>
                </w:tcPr>
                <w:p>
                  <w:pPr>
                    <w:spacing w:after="120"/>
                  </w:pPr>
                  <w:r>
                    <w:rPr>
                      <w:lang w:val="en-US"/>
                      <w:rFonts w:ascii="Georgia" w:hAnsi="Georgia" w:cs="Georgia"/>
                      <w:u w:val="none"/>
                      <w:sz w:val="24"/>
                      <w:szCs w:val="24"/>
                      <w:color w:val="000000"/>
                    </w:rPr>
                    <w:t>Interviewees describe Cliff Stromberg as an extraordinary, almost unique resource in terms of his ability to help... think things through and get things done. He frequently advises on high-value transactions.</w:t>
                  </w:r>
                </w:p>
                <w:p>
                  <w:pPr>
                    <w:jc w:val="right"/>
                    <w:spacing w:after="300"/>
                  </w:pPr>
                  <w:r>
                    <w:rPr>
                      <w:lang w:val="en-US"/>
                      <w:u w:val="none"/>
                      <w:i/>
                      <w:rFonts w:ascii="Georgia" w:hAnsi="Georgia" w:cs="Georgia"/>
                      <w:sz w:val="24"/>
                      <w:szCs w:val="24"/>
                    </w:rPr>
                    <w:t>Chambers USA 2017</w:t>
                  </w:r>
                </w:p>
              </w:tc>
            </w:tr>
            <w:tr>
              <w:tc>
                <w:tcPr>
                  <w:tcW w:w="3686.4" w:type="dxa"/>
                </w:tcPr>
                <w:p>
                  <w:pPr>
                    <w:spacing w:after="120"/>
                  </w:pPr>
                  <w:r>
                    <w:rPr>
                      <w:lang w:val="en-US"/>
                      <w:rFonts w:ascii="Georgia" w:hAnsi="Georgia" w:cs="Georgia"/>
                      <w:u w:val="none"/>
                      <w:sz w:val="24"/>
                      <w:szCs w:val="24"/>
                      <w:color w:val="000000"/>
                    </w:rPr>
                    <w:t>Review reported clients saying "He is super strategic and smart…He is the lead partner for healthcare [deals] at Hogan Lovells, so he is the go-to person if we need to put a team together, or we need a first-blush [judgment] on an issue."</w:t>
                  </w:r>
                </w:p>
                <w:p>
                  <w:pPr>
                    <w:jc w:val="right"/>
                    <w:spacing w:after="300"/>
                  </w:pPr>
                  <w:r>
                    <w:rPr>
                      <w:lang w:val="en-US"/>
                      <w:u w:val="none"/>
                      <w:i/>
                      <w:rFonts w:ascii="Georgia" w:hAnsi="Georgia" w:cs="Georgia"/>
                      <w:sz w:val="24"/>
                      <w:szCs w:val="24"/>
                    </w:rPr>
                    <w:t>Acritas Stars</w:t>
                  </w:r>
                </w:p>
              </w:tc>
            </w:tr>
          </w:tbl>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8_border10"/>
            </w:tblPr>
            <w:tblGrid>
              <w:gridCol w:w="3686"/>
            </w:tblGrid>
            <w:tr w:rsidR="00181440" w:rsidTr="00FE240B">
              <w:trPr>
                <w:trHeight w:val="158"/>
              </w:trPr>
              <w:tc>
                <w:tcPr>
                  <w:tcW w:w="3686" w:type="dxa"/>
                </w:tcPr>
                <w:p w:rsidR="00181440" w:rsidRPr="00D932FF" w:rsidRDefault="00181440">
                  <w:pPr>
                    <w:rPr>
                      <w:sz w:val="16"/>
                      <w:szCs w:val="16"/>
                    </w:rPr>
                  </w:pPr>
                  <w:r w:rsidRPr="00D932FF">
                    <w:rPr>
                      <w:noProof/>
                      <w:color w:val="E7E6E6" w:themeColor="background2"/>
                      <w:sz w:val="16"/>
                      <w:szCs w:val="16"/>
                    </w:rPr>
                    <mc:AlternateContent>
                      <mc:Choice Requires="wps">
                        <w:drawing>
                          <wp:anchor distT="0" distB="0" distL="114300" distR="114300" simplePos="0" relativeHeight="251697152" behindDoc="0" locked="0" layoutInCell="1" allowOverlap="1" wp14:anchorId="06B872CB" wp14:editId="6D189D00">
                            <wp:simplePos x="0" y="0"/>
                            <wp:positionH relativeFrom="column">
                              <wp:posOffset>-12700</wp:posOffset>
                            </wp:positionH>
                            <wp:positionV relativeFrom="paragraph">
                              <wp:posOffset>29211</wp:posOffset>
                            </wp:positionV>
                            <wp:extent cx="2247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479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2BAF56"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2.3pt" to="176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" strokecolor="#ccc" strokeweight="1.5pt">
                            <v:stroke joinstyle="miter"/>
                          </v:line>
                        </w:pict>
                      </mc:Fallback>
                    </mc:AlternateContent>
                  </w:r>
                </w:p>
              </w:tc>
            </w:tr>
          </w:tbl>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2ad8e954-16cd-4c8c-96a8-8d2f20ea80ea.jpeg" Id="Rf0f593ae3c7b4e14" /><Relationship Type="http://schemas.openxmlformats.org/officeDocument/2006/relationships/hyperlink" Target="mailto:clifford.stromberg@hoganlovells.com" TargetMode="External" Id="Rdd1492229fd745ba" /><Relationship Type="http://schemas.openxmlformats.org/officeDocument/2006/relationships/hyperlink" Target="https://mc-7c5ead77-4153-4f21-9a29-b0c7-cm.azurewebsites.net//en/service/health-law" TargetMode="External" Id="Ra9fac8c0d9bb4733" /><Relationship Type="http://schemas.openxmlformats.org/officeDocument/2006/relationships/hyperlink" Target="https://mc-7c5ead77-4153-4f21-9a29-b0c7-cm.azurewebsites.net//en/sector/life-sciences-and-healthcare" TargetMode="External" Id="Rf6a5d0fc25234874" /><Relationship Type="http://schemas.openxmlformats.org/officeDocument/2006/relationships/hyperlink" Target="https://mc-7c5ead77-4153-4f21-9a29-b0c7-cm.azurewebsites.net//en/aof/hospitals-and-health-care-providers" TargetMode="External" Id="Rc871eba8b4d44e97"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