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odttf" ContentType="application/vnd.openxmlformats-officedocument.obfuscatedFont"/>
  <Default Extension="gif" ContentType="image/gif"/>
  <Default Extension="png" ContentType="image/png"/>
  <Default Extension="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PlainTable4"/>
        <w:tblW w:w="10080" w:type="dxa"/>
        <w:tblInd w:w="-630" w:type="dxa"/>
        <w:tblLayout w:type="fixed"/>
        <w:tblLook w:val="01E0" w:firstRow="1" w:lastRow="1" w:firstColumn="1" w:lastColumn="1" w:noHBand="0" w:noVBand="0"/>
      </w:tblPr>
      <w:tblGrid>
        <w:gridCol w:w="6096"/>
        <w:gridCol w:w="3984"/>
      </w:tblGrid>
      <w:tr w:rsidR="004A1494" w:rsidTr="00E14FC9">
        <w:trPr>
          <w:cnfStyle w:val="100000000000" w:firstRow="1" w:lastRow="0" w:firstColumn="0" w:lastColumn="0" w:oddVBand="0" w:evenVBand="0" w:oddHBand="0" w:evenHBand="0" w:firstRowFirstColumn="0" w:firstRowLastColumn="0" w:lastRowFirstColumn="0" w:lastRowLastColumn="0"/>
          <w:trHeight w:val="7200"/>
        </w:trPr>
        <w:tc>
          <w:tcPr>
            <w:cnfStyle w:val="001000000000" w:firstRow="0" w:lastRow="0" w:firstColumn="1" w:lastColumn="0" w:oddVBand="0" w:evenVBand="0" w:oddHBand="0" w:evenHBand="0" w:firstRowFirstColumn="0" w:firstRowLastColumn="0" w:lastRowFirstColumn="0" w:lastRowLastColumn="0"/>
            <w:tcW w:w="6096" w:type="dxa"/>
          </w:tcPr>
          <w:tbl>
            <w:tblPr>
              <w:tblStyle w:val="TableGrid"/>
              <w:tblpPr w:leftFromText="180" w:rightFromText="180" w:horzAnchor="page" w:tblpX="86" w:tblpY="225"/>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_hllogo"/>
            </w:tblPr>
            <w:tblGrid>
              <w:gridCol w:w="1990"/>
            </w:tblGrid>
            <w:tr w:rsidR="004A1494" w:rsidTr="00DB1C60">
              <w:trPr>
                <w:trHeight w:val="1793"/>
              </w:trPr>
              <w:tc>
                <w:tcPr>
                  <w:tcW w:w="1990" w:type="dxa"/>
                </w:tcPr>
                <w:p w:rsidR="004A1494" w:rsidRDefault="004A1494" w:rsidP="00D01155">
                  <w:r>
                    <w:rPr>
                      <w:noProof/>
                    </w:rPr>
                    <w:drawing>
                      <wp:inline distT="0" distB="0" distL="0" distR="0" wp14:anchorId="02936506" wp14:editId="6B973CDE">
                        <wp:extent cx="1104900" cy="1104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05228" cy="1105228"/>
                                </a:xfrm>
                                <a:prstGeom prst="rect">
                                  <a:avLst/>
                                </a:prstGeom>
                                <a:noFill/>
                                <a:ln>
                                  <a:noFill/>
                                </a:ln>
                              </pic:spPr>
                            </pic:pic>
                          </a:graphicData>
                        </a:graphic>
                      </wp:inline>
                    </w:drawing>
                  </w:r>
                </w:p>
              </w:tc>
            </w:tr>
          </w:tbl>
          <w:p w:rsidR="004A1494" w:rsidRDefault="004A1494" w:rsidP="00D01155">
            <w:pPr>
              <w:ind w:left="-383" w:firstLine="383"/>
            </w:pPr>
            <w:r>
              <w:t xml:space="preserve"> </w:t>
            </w: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616C0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_BioName"/>
            </w:tblPr>
            <w:tblGrid>
              <w:gridCol w:w="5841"/>
            </w:tblGrid>
            <w:tr w:rsidR="004A1494" w:rsidTr="00FF36A3">
              <w:trPr>
                <w:trHeight w:val="565"/>
              </w:trPr>
              <w:tc>
                <w:tcPr>
                  <w:tcW w:w="5841" w:type="dxa"/>
                </w:tcPr>
                <w:p w:rsidR="004A1494" w:rsidRPr="00104DF8" w:rsidRDefault="004A1494" w:rsidP="00D01155">
                  <w:pPr>
                    <w:rPr>
                      <w:color w:val="2C5E4F"/>
                      <w:sz w:val="48"/>
                      <w:szCs w:val="48"/>
                    </w:rPr>
                  </w:pPr>
                  <w:r>
                    <w:rPr>
                      <w:lang w:val="en-US"/>
                      <w:rFonts w:ascii="Calibri" w:hAnsi="Calibri" w:cs="Calibri"/>
                      <w:u w:val="none"/>
                      <w:sz w:val="48"/>
                      <w:szCs w:val="48"/>
                      <w:color w:val="2C5E4F"/>
                    </w:rPr>
                    <w:t>Dr. Andreas von Falck</w:t>
                  </w:r>
                </w:p>
              </w:tc>
            </w:tr>
          </w:tbl>
          <w:p w:rsidR="004A1494" w:rsidRPr="007F3AE2" w:rsidRDefault="004A1494" w:rsidP="00616C0C">
            <w:pPr>
              <w:rPr>
                <w:sz w:val="2"/>
                <w:szCs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_Position"/>
            </w:tblPr>
            <w:tblGrid>
              <w:gridCol w:w="5841"/>
            </w:tblGrid>
            <w:tr w:rsidR="004A1494" w:rsidTr="00FF36A3">
              <w:trPr>
                <w:trHeight w:val="322"/>
              </w:trPr>
              <w:tc>
                <w:tcPr>
                  <w:tcW w:w="5841" w:type="dxa"/>
                </w:tcPr>
                <w:p w:rsidR="004A1494" w:rsidRPr="00C3219D" w:rsidRDefault="004A1494" w:rsidP="00D01155">
                  <w:pPr>
                    <w:rPr>
                      <w:sz w:val="28"/>
                      <w:szCs w:val="28"/>
                    </w:rPr>
                  </w:pPr>
                  <w:r>
                    <w:rPr>
                      <w:lang w:val="en-US"/>
                      <w:rFonts w:ascii="Georgia" w:hAnsi="Georgia" w:cs="Georgia"/>
                      <w:u w:val="none"/>
                      <w:sz w:val="32"/>
                      <w:szCs w:val="32"/>
                      <w:color w:val="000000"/>
                    </w:rPr>
                    <w:t>Partner</w:t>
                  </w:r>
                </w:p>
              </w:tc>
            </w:tr>
          </w:tbl>
          <w:p w:rsidR="004A1494" w:rsidRPr="007F3AE2" w:rsidRDefault="004A1494" w:rsidP="00D54D47">
            <w:pPr>
              <w:rPr>
                <w:sz w:val="2"/>
                <w:szCs w:val="2"/>
              </w:rPr>
            </w:pPr>
          </w:p>
          <w:tbl>
            <w:tblPr>
              <w:tblStyle w:val="TableGrid"/>
              <w:tblW w:w="58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_OfficeLocation"/>
            </w:tblPr>
            <w:tblGrid>
              <w:gridCol w:w="5841"/>
            </w:tblGrid>
            <w:tr w:rsidR="004A1494" w:rsidTr="00DF0850">
              <w:trPr>
                <w:trHeight w:val="366"/>
              </w:trPr>
              <w:tc>
                <w:tcPr>
                  <w:tcW w:w="5841" w:type="dxa"/>
                </w:tcPr>
                <w:p w:rsidR="004A1494" w:rsidRPr="0094151E" w:rsidRDefault="00564264" w:rsidP="00D01155">
                  <w:pPr>
                    <w:rPr>
                      <w:rFonts w:cstheme="minorHAnsi"/>
                    </w:rPr>
                  </w:pPr>
                  <w:r>
                    <w:rPr>
                      <w:lang w:val="en-US"/>
                      <w:rFonts w:ascii="Georgia" w:hAnsi="Georgia" w:cs="Georgia"/>
                      <w:u w:val="none"/>
                      <w:sz w:val="28"/>
                      <w:szCs w:val="28"/>
                      <w:color w:val="000000"/>
                    </w:rPr>
                    <w:t>Dusseldorf
</w:t>
                  </w:r>
                  <w:r>
                    <w:rPr>
                      <w:lang w:val="en-US"/>
                      <w:rFonts w:ascii="Georgia" w:hAnsi="Georgia" w:cs="Georgia"/>
                      <w:u w:val="none"/>
                      <w:sz w:val="28"/>
                      <w:szCs w:val="28"/>
                      <w:color w:val="000000"/>
                    </w:rPr>
                    <w:br/>
                  </w:r>
                </w:p>
              </w:tc>
            </w:tr>
          </w:tbl>
          <w:p w:rsidR="009D34CC" w:rsidRPr="009E0501" w:rsidRDefault="009D34CC" w:rsidP="009E0501">
            <w:pPr>
              <w:rPr>
                <w:sz w:val="2"/>
                <w:szCs w:val="2"/>
              </w:rPr>
            </w:pPr>
          </w:p>
          <w:p w:rsidR="009D34CC" w:rsidRPr="009E0501" w:rsidRDefault="009D34CC" w:rsidP="00D01155">
            <w:pPr>
              <w:ind w:left="-383" w:firstLine="383"/>
              <w:rPr>
                <w:sz w:val="2"/>
                <w:szCs w:val="2"/>
              </w:rPr>
            </w:pPr>
          </w:p>
          <w:p w:rsidR="009D34CC" w:rsidRPr="009E0501" w:rsidRDefault="009D34CC" w:rsidP="009E0501">
            <w:pPr>
              <w:rPr>
                <w:sz w:val="2"/>
                <w:szCs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5_Biography"/>
            </w:tblPr>
            <w:tblGrid>
              <w:gridCol w:w="5841"/>
            </w:tblGrid>
            <w:tr w:rsidR="004A1494" w:rsidTr="00FF36A3">
              <w:tc>
                <w:tcPr>
                  <w:tcW w:w="5841" w:type="dxa"/>
                </w:tcPr>
                <w:p w:rsidR="004A1494" w:rsidRPr="00F90870" w:rsidRDefault="004A1494" w:rsidP="00D01155">
                  <w:pPr>
                    <w:rPr>
                      <w:color w:val="58A618"/>
                      <w:sz w:val="44"/>
                      <w:szCs w:val="44"/>
                    </w:rPr>
                  </w:pPr>
                  <w:r>
                    <w:rPr>
                      <w:lang w:val="en-US"/>
                      <w:rFonts w:ascii="Calibri" w:hAnsi="Calibri" w:cs="Calibri"/>
                      <w:u w:val="none"/>
                      <w:sz w:val="40"/>
                      <w:szCs w:val="40"/>
                      <w:color w:val="58A618"/>
                    </w:rPr>
                    <w:t>Biography</w:t>
                  </w:r>
                </w:p>
              </w:tc>
            </w:tr>
          </w:tbl>
          <w:p w:rsidR="004A1494" w:rsidRPr="00086676" w:rsidRDefault="004A1494" w:rsidP="009E0501">
            <w:pPr>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6_BiographyContent"/>
            </w:tblPr>
            <w:tblGrid>
              <w:gridCol w:w="5841"/>
            </w:tblGrid>
            <w:tr w:rsidR="004A1494" w:rsidTr="00FF36A3">
              <w:tc>
                <w:tcPr>
                  <w:tcW w:w="5841" w:type="dxa"/>
                </w:tcPr>
                <w:p>
                  <w:pPr>
                    <w:spacing w:line="276"/>
                  </w:pPr>
                  <w:r>
                    <w:rPr>
                      <w:rFonts w:ascii="Georgia" w:hAnsi="Georgia" w:cs="Georgia"/>
                      <w:sz w:val="24"/>
                      <w:szCs w:val="24"/>
                    </w:rPr>
                    <w:t>Andreas von Falck is a trial lawyer with a track record for developing successful litigation strategies. He loves technology and science and finding ways to convey simple messages to the decision makers. In its 2019 edition, IAM wrote about him: “</w:t>
                  </w:r>
                  <w:r>
                    <w:rPr>
                      <w:rFonts w:ascii="Georgia" w:hAnsi="Georgia" w:cs="Georgia"/>
                      <w:sz w:val="24"/>
                      <w:szCs w:val="24"/>
                      <w:i/>
                    </w:rPr>
                    <w:t>a defining individual in the world of German intellectual property</w:t>
                  </w:r>
                  <w:r>
                    <w:rPr>
                      <w:rFonts w:ascii="Georgia" w:hAnsi="Georgia" w:cs="Georgia"/>
                      <w:sz w:val="24"/>
                      <w:szCs w:val="24"/>
                    </w:rPr>
                    <w:t>” who’s “</w:t>
                  </w:r>
                  <w:r>
                    <w:rPr>
                      <w:rFonts w:ascii="Georgia" w:hAnsi="Georgia" w:cs="Georgia"/>
                      <w:sz w:val="24"/>
                      <w:szCs w:val="24"/>
                      <w:i/>
                    </w:rPr>
                    <w:t>advocacy can flip the outcome of a case, which is precisely why he is so sought after</w:t>
                  </w:r>
                  <w:r>
                    <w:rPr>
                      <w:rFonts w:ascii="Georgia" w:hAnsi="Georgia" w:cs="Georgia"/>
                      <w:sz w:val="24"/>
                      <w:szCs w:val="24"/>
                    </w:rPr>
                    <w:t>.” </w:t>
                  </w:r>
                  <w:r>
                    <w:br/>
                  </w:r>
                </w:p>
                <w:p>
                  <w:pPr>
                    <w:spacing w:line="276"/>
                  </w:pPr>
                  <w:r>
                    <w:rPr>
                      <w:rFonts w:ascii="Georgia" w:hAnsi="Georgia" w:cs="Georgia"/>
                      <w:sz w:val="24"/>
                      <w:szCs w:val="24"/>
                    </w:rPr>
                    <w:t>Andreas von Falck is part of our global Patent Litigation practice. He has an excellent track record in litigating patents in all areas of patent law but with a particular focus on the life sciences, chemical, and high-tech industries. Andreas has advised many of the world's leading companies in patent litigation in Germany and has had conduct of a vast number of cross border proceedings including all parts of Europe. In addition, he has had a number of remarkable wins in validity appeals before the German Federal Supreme Court.</w:t>
                  </w:r>
                  <w:r>
                    <w:br/>
                  </w:r>
                </w:p>
                <w:p>
                  <w:pPr>
                    <w:spacing w:line="276"/>
                  </w:pPr>
                  <w:r>
                    <w:rPr>
                      <w:rFonts w:ascii="Georgia" w:hAnsi="Georgia" w:cs="Georgia"/>
                      <w:sz w:val="24"/>
                      <w:szCs w:val="24"/>
                    </w:rPr>
                    <w:t xml:space="preserve">As part of our multiple award winning global patent litigation practice, Andreas is recommended for patent litigation by </w:t>
                  </w:r>
                  <w:r>
                    <w:rPr>
                      <w:rFonts w:ascii="Georgia" w:hAnsi="Georgia" w:cs="Georgia"/>
                      <w:sz w:val="24"/>
                      <w:szCs w:val="24"/>
                      <w:i/>
                    </w:rPr>
                    <w:t>Chambers Global World's Leading Lawyers</w:t>
                  </w:r>
                  <w:r>
                    <w:rPr>
                      <w:rFonts w:ascii="Georgia" w:hAnsi="Georgia" w:cs="Georgia"/>
                      <w:sz w:val="24"/>
                      <w:szCs w:val="24"/>
                    </w:rPr>
                    <w:t xml:space="preserve">, </w:t>
                  </w:r>
                  <w:r>
                    <w:rPr>
                      <w:rFonts w:ascii="Georgia" w:hAnsi="Georgia" w:cs="Georgia"/>
                      <w:sz w:val="24"/>
                      <w:szCs w:val="24"/>
                      <w:i/>
                    </w:rPr>
                    <w:t>Who's Who Legal</w:t>
                  </w:r>
                  <w:r>
                    <w:rPr>
                      <w:rFonts w:ascii="Georgia" w:hAnsi="Georgia" w:cs="Georgia"/>
                      <w:sz w:val="24"/>
                      <w:szCs w:val="24"/>
                    </w:rPr>
                    <w:t xml:space="preserve">, </w:t>
                  </w:r>
                  <w:r>
                    <w:rPr>
                      <w:rFonts w:ascii="Georgia" w:hAnsi="Georgia" w:cs="Georgia"/>
                      <w:sz w:val="24"/>
                      <w:szCs w:val="24"/>
                      <w:i/>
                    </w:rPr>
                    <w:t>Managing Intellectual Property</w:t>
                  </w:r>
                  <w:r>
                    <w:rPr>
                      <w:rFonts w:ascii="Georgia" w:hAnsi="Georgia" w:cs="Georgia"/>
                      <w:sz w:val="24"/>
                      <w:szCs w:val="24"/>
                    </w:rPr>
                    <w:t xml:space="preserve">, </w:t>
                  </w:r>
                  <w:r>
                    <w:rPr>
                      <w:rFonts w:ascii="Georgia" w:hAnsi="Georgia" w:cs="Georgia"/>
                      <w:sz w:val="24"/>
                      <w:szCs w:val="24"/>
                      <w:i/>
                    </w:rPr>
                    <w:t>Legal 500</w:t>
                  </w:r>
                  <w:r>
                    <w:rPr>
                      <w:rFonts w:ascii="Georgia" w:hAnsi="Georgia" w:cs="Georgia"/>
                      <w:sz w:val="24"/>
                      <w:szCs w:val="24"/>
                    </w:rPr>
                    <w:t xml:space="preserve">, and </w:t>
                  </w:r>
                  <w:r>
                    <w:rPr>
                      <w:rFonts w:ascii="Georgia" w:hAnsi="Georgia" w:cs="Georgia"/>
                      <w:sz w:val="24"/>
                      <w:szCs w:val="24"/>
                      <w:i/>
                    </w:rPr>
                    <w:t>JUVE</w:t>
                  </w:r>
                  <w:r>
                    <w:rPr>
                      <w:rFonts w:ascii="Georgia" w:hAnsi="Georgia" w:cs="Georgia"/>
                      <w:sz w:val="24"/>
                      <w:szCs w:val="24"/>
                    </w:rPr>
                    <w:t>, the leading German legal directory. Recognised for offering first class, innovative solutions, He is praised for his "analytical approach and availability" (</w:t>
                  </w:r>
                  <w:r>
                    <w:rPr>
                      <w:rFonts w:ascii="Georgia" w:hAnsi="Georgia" w:cs="Georgia"/>
                      <w:sz w:val="24"/>
                      <w:szCs w:val="24"/>
                      <w:i/>
                    </w:rPr>
                    <w:t>Chambers 2018</w:t>
                  </w:r>
                  <w:r>
                    <w:rPr>
                      <w:rFonts w:ascii="Georgia" w:hAnsi="Georgia" w:cs="Georgia"/>
                      <w:sz w:val="24"/>
                      <w:szCs w:val="24"/>
                    </w:rPr>
                    <w:t>) and as "extremely knowledgeable and one of the top litigators in Germany, if not the top."(</w:t>
                  </w:r>
                  <w:r>
                    <w:rPr>
                      <w:rFonts w:ascii="Georgia" w:hAnsi="Georgia" w:cs="Georgia"/>
                      <w:sz w:val="24"/>
                      <w:szCs w:val="24"/>
                      <w:i/>
                    </w:rPr>
                    <w:t>Chambers 2017</w:t>
                  </w:r>
                  <w:r>
                    <w:rPr>
                      <w:rFonts w:ascii="Georgia" w:hAnsi="Georgia" w:cs="Georgia"/>
                      <w:sz w:val="24"/>
                      <w:szCs w:val="24"/>
                    </w:rPr>
                    <w:t>)</w:t>
                  </w:r>
                  <w:r>
                    <w:br/>
                  </w:r>
                </w:p>
              </w:tc>
            </w:tr>
          </w:tbl>
          <w:p w:rsidR="009D34CC" w:rsidRPr="00086676" w:rsidRDefault="009D34CC" w:rsidP="00A408AD">
            <w:pPr>
              <w:rPr>
                <w:sz w:val="4"/>
                <w:szCs w:val="4"/>
              </w:rPr>
            </w:pPr>
            <w:r>
              <w:rPr>
                <w:sz w:val="4"/>
                <w:szCs w:val="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7_Representative Experience"/>
            </w:tblPr>
            <w:tblGrid>
              <w:gridCol w:w="5841"/>
            </w:tblGrid>
            <w:tr w:rsidR="004A1494" w:rsidTr="00FF36A3">
              <w:tc>
                <w:tcPr>
                  <w:tcW w:w="5841" w:type="dxa"/>
                </w:tcPr>
                <w:p w:rsidR="004A1494" w:rsidRPr="00F90870" w:rsidRDefault="004A1494" w:rsidP="00D01155">
                  <w:pPr>
                    <w:rPr>
                      <w:color w:val="58A618"/>
                      <w:sz w:val="44"/>
                      <w:szCs w:val="44"/>
                    </w:rPr>
                  </w:pPr>
                  <w:r>
                    <w:rPr>
                      <w:lang w:val="en-US"/>
                      <w:rFonts w:ascii="Calibri" w:hAnsi="Calibri" w:cs="Calibri"/>
                      <w:u w:val="none"/>
                      <w:sz w:val="40"/>
                      <w:szCs w:val="40"/>
                      <w:color w:val="58A618"/>
                    </w:rPr>
                    <w:t>Representative experience</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8_RepresentativeExperienceContent"/>
            </w:tblPr>
            <w:tblGrid>
              <w:gridCol w:w="5841"/>
            </w:tblGrid>
            <w:tr w:rsidR="004A1494" w:rsidTr="00FF36A3">
              <w:tc>
                <w:tcPr>
                  <w:tcW w:w="5846.4" w:type="dxa"/>
                </w:tcPr>
                <w:p>
                  <w:pPr/>
                  <w:r>
                    <w:rPr>
                      <w:lang w:val="en-US"/>
                      <w:rFonts w:ascii="Georgia" w:hAnsi="Georgia" w:cs="Georgia"/>
                      <w:u w:val="none"/>
                      <w:sz w:val="24"/>
                      <w:szCs w:val="24"/>
                      <w:color w:val="000000"/>
                    </w:rPr>
                    <w:t>Working for many of the world's largest companies in the life sciences and chemical industries and arguing for high tech companies in FRAND disputes.</w:t>
                  </w:r>
                  <w:r>
                    <w:rPr>
                      <w:lang w:val="en-US"/>
                      <w:u w:val="none"/>
                    </w:rPr>
                    <w:br/>
                  </w:r>
                  <w:r>
                    <w:rPr>
                      <w:lang w:val="en-US"/>
                      <w:u w:val="none"/>
                    </w:rPr>
                    <w:br/>
                  </w:r>
                  <w:r>
                    <w:rPr>
                      <w:lang w:val="en-US"/>
                      <w:rFonts w:ascii="Georgia" w:hAnsi="Georgia" w:cs="Georgia"/>
                      <w:u w:val="none"/>
                      <w:sz w:val="24"/>
                      <w:szCs w:val="24"/>
                      <w:color w:val="000000"/>
                    </w:rPr>
                    <w:t>Representing a leading US pharma company in patent nullity and infringement proceedings up to the Federal Supreme Court regarding its world leading antidepressant.</w:t>
                  </w:r>
                  <w:r>
                    <w:rPr>
                      <w:lang w:val="en-US"/>
                      <w:u w:val="none"/>
                    </w:rPr>
                    <w:br/>
                  </w:r>
                  <w:r>
                    <w:rPr>
                      <w:lang w:val="en-US"/>
                      <w:u w:val="none"/>
                    </w:rPr>
                    <w:br/>
                  </w:r>
                  <w:r>
                    <w:rPr>
                      <w:lang w:val="en-US"/>
                      <w:rFonts w:ascii="Georgia" w:hAnsi="Georgia" w:cs="Georgia"/>
                      <w:u w:val="none"/>
                      <w:sz w:val="24"/>
                      <w:szCs w:val="24"/>
                      <w:color w:val="000000"/>
                    </w:rPr>
                    <w:t>Acting for a US medical devices manufacturer in European litigation and coordinating Asian and US litigation regarding neurovascular implants.</w:t>
                  </w:r>
                  <w:r>
                    <w:rPr>
                      <w:lang w:val="en-US"/>
                      <w:u w:val="none"/>
                    </w:rPr>
                    <w:br/>
                  </w:r>
                  <w:r>
                    <w:rPr>
                      <w:lang w:val="en-US"/>
                      <w:u w:val="none"/>
                    </w:rPr>
                    <w:br/>
                  </w:r>
                  <w:r>
                    <w:rPr>
                      <w:lang w:val="en-US"/>
                      <w:rFonts w:ascii="Georgia" w:hAnsi="Georgia" w:cs="Georgia"/>
                      <w:u w:val="none"/>
                      <w:sz w:val="24"/>
                      <w:szCs w:val="24"/>
                      <w:color w:val="000000"/>
                    </w:rPr>
                    <w:t>Acting for a world leading pharmaceutical and biotech company regarding several of its blockbuster biotech products.</w:t>
                  </w:r>
                  <w:r>
                    <w:rPr>
                      <w:lang w:val="en-US"/>
                      <w:u w:val="none"/>
                    </w:rPr>
                    <w:br/>
                  </w:r>
                  <w:r>
                    <w:rPr>
                      <w:lang w:val="en-US"/>
                      <w:u w:val="none"/>
                    </w:rPr>
                    <w:br/>
                  </w:r>
                  <w:r>
                    <w:rPr>
                      <w:lang w:val="en-US"/>
                      <w:rFonts w:ascii="Georgia" w:hAnsi="Georgia" w:cs="Georgia"/>
                      <w:u w:val="none"/>
                      <w:sz w:val="24"/>
                      <w:szCs w:val="24"/>
                      <w:color w:val="000000"/>
                    </w:rPr>
                    <w:t>Acting for leading chemical company in patent litigation with competitor in Germany and the EPO.</w:t>
                  </w:r>
                  <w:r>
                    <w:rPr>
                      <w:lang w:val="en-US"/>
                      <w:u w:val="none"/>
                    </w:rPr>
                    <w:br/>
                  </w:r>
                  <w:r>
                    <w:rPr>
                      <w:lang w:val="en-US"/>
                      <w:u w:val="none"/>
                    </w:rPr>
                    <w:br/>
                  </w:r>
                  <w:r>
                    <w:rPr>
                      <w:lang w:val="en-US"/>
                      <w:rFonts w:ascii="Georgia" w:hAnsi="Georgia" w:cs="Georgia"/>
                      <w:u w:val="none"/>
                      <w:sz w:val="24"/>
                      <w:szCs w:val="24"/>
                      <w:color w:val="000000"/>
                    </w:rPr>
                    <w:t>Acting for a leading US drug manufacturer in European Court of Justice regarding supplementary protection certificate.</w:t>
                  </w:r>
                  <w:r>
                    <w:rPr>
                      <w:lang w:val="en-US"/>
                      <w:u w:val="none"/>
                    </w:rPr>
                    <w:br/>
                  </w:r>
                  <w:r>
                    <w:rPr>
                      <w:lang w:val="en-US"/>
                      <w:u w:val="none"/>
                    </w:rPr>
                    <w:br/>
                  </w:r>
                  <w:r>
                    <w:rPr>
                      <w:lang w:val="en-US"/>
                      <w:rFonts w:ascii="Georgia" w:hAnsi="Georgia" w:cs="Georgia"/>
                      <w:u w:val="none"/>
                      <w:sz w:val="24"/>
                      <w:szCs w:val="24"/>
                      <w:color w:val="000000"/>
                    </w:rPr>
                    <w:t>Acting for a leading global handset manufacturer on all aspects of defending against one of the world's largest non-practicing entities.</w:t>
                  </w:r>
                  <w:r>
                    <w:rPr>
                      <w:lang w:val="en-US"/>
                      <w:u w:val="none"/>
                    </w:rPr>
                    <w:br/>
                  </w:r>
                  <w:r>
                    <w:rPr>
                      <w:lang w:val="en-US"/>
                      <w:u w:val="none"/>
                    </w:rPr>
                    <w:br/>
                  </w:r>
                  <w:r>
                    <w:rPr>
                      <w:lang w:val="en-US"/>
                      <w:rFonts w:ascii="Georgia" w:hAnsi="Georgia" w:cs="Georgia"/>
                      <w:u w:val="none"/>
                      <w:sz w:val="24"/>
                      <w:szCs w:val="24"/>
                      <w:color w:val="000000"/>
                    </w:rPr>
                    <w:t>Representing a Japanese high-tech company against "troll" a attack.</w:t>
                  </w:r>
                  <w:r>
                    <w:rPr>
                      <w:lang w:val="en-US"/>
                      <w:u w:val="none"/>
                    </w:rPr>
                    <w:br/>
                  </w:r>
                  <w:r>
                    <w:rPr>
                      <w:lang w:val="en-US"/>
                      <w:u w:val="none"/>
                    </w:rPr>
                    <w:br/>
                  </w:r>
                  <w:r>
                    <w:rPr>
                      <w:lang w:val="en-US"/>
                      <w:rFonts w:ascii="Georgia" w:hAnsi="Georgia" w:cs="Georgia"/>
                      <w:u w:val="none"/>
                      <w:sz w:val="24"/>
                      <w:szCs w:val="24"/>
                      <w:color w:val="000000"/>
                    </w:rPr>
                    <w:t>Advising a world leading industrial on its worldwide patent strategy and implementation.</w:t>
                  </w:r>
                  <w:r>
                    <w:rPr>
                      <w:lang w:val="en-US"/>
                      <w:u w:val="none"/>
                    </w:rPr>
                    <w:br/>
                  </w:r>
                  <w:r>
                    <w:rPr>
                      <w:lang w:val="en-US"/>
                      <w:u w:val="none"/>
                    </w:rPr>
                    <w:br/>
                  </w:r>
                  <w:r>
                    <w:rPr>
                      <w:lang w:val="en-US"/>
                      <w:rFonts w:ascii="Georgia" w:hAnsi="Georgia" w:cs="Georgia"/>
                      <w:u w:val="none"/>
                      <w:sz w:val="24"/>
                      <w:szCs w:val="24"/>
                      <w:color w:val="000000"/>
                    </w:rPr>
                    <w:t>Advising a diagnostics company on patenting strategy.</w:t>
                  </w:r>
                  <w:r>
                    <w:rPr>
                      <w:lang w:val="en-US"/>
                      <w:u w:val="none"/>
                    </w:rPr>
                    <w:br/>
                  </w:r>
                  <w:r>
                    <w:rPr>
                      <w:lang w:val="en-US"/>
                      <w:u w:val="none"/>
                    </w:rPr>
                    <w:br/>
                  </w:r>
                  <w:r>
                    <w:rPr>
                      <w:lang w:val="en-US"/>
                      <w:rFonts w:ascii="Georgia" w:hAnsi="Georgia" w:cs="Georgia"/>
                      <w:u w:val="none"/>
                      <w:sz w:val="24"/>
                      <w:szCs w:val="24"/>
                      <w:color w:val="000000"/>
                    </w:rPr>
                    <w:t>Assisting a top-ten pharma company on obtaining and defending secondary protection for new indications of its anti-cancer medicament.</w:t>
                  </w:r>
                </w:p>
              </w:tc>
            </w:tr>
          </w:tbl>
          <w:p w:rsidR="004A1494"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9_Awards and rankings"/>
            </w:tblPr>
            <w:tblGrid>
              <w:gridCol w:w="5841"/>
            </w:tblGrid>
            <w:tr w:rsidR="004A1494" w:rsidTr="00FF36A3">
              <w:tc>
                <w:tcPr>
                  <w:tcW w:w="5841" w:type="dxa"/>
                </w:tcPr>
                <w:p w:rsidR="004A1494" w:rsidRPr="00F90870" w:rsidRDefault="004A1494" w:rsidP="00D01155">
                  <w:pPr>
                    <w:rPr>
                      <w:sz w:val="44"/>
                      <w:szCs w:val="44"/>
                    </w:rPr>
                  </w:pPr>
                  <w:r>
                    <w:rPr>
                      <w:lang w:val="en-US"/>
                      <w:rFonts w:ascii="Calibri" w:hAnsi="Calibri" w:cs="Calibri"/>
                      <w:u w:val="none"/>
                      <w:sz w:val="40"/>
                      <w:szCs w:val="40"/>
                      <w:color w:val="58A618"/>
                    </w:rPr>
                    <w:t>Awards and rankings</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0_AwardsandrankingsList"/>
            </w:tblPr>
            <w:tblGrid>
              <w:gridCol w:w="5841"/>
            </w:tblGrid>
            <w:tr>
              <w:tc>
                <w:tcPr>
                  <w:tcW w:w="5846.4" w:type="dxa"/>
                </w:tcPr>
                <w:p>
                  <w:pPr/>
                </w:p>
                <w:p>
                  <w:pPr>
                    <w:numPr>
                      <w:ilvl w:val="0"/>
                      <w:numId w:val="4"/>
                    </w:numPr>
                    <w:spacing w:after="0"/>
                  </w:pPr>
                  <w:r>
                    <w:rPr>
                      <w:rFonts w:ascii="Georgia" w:hAnsi="Georgia" w:cs="Georgia"/>
                      <w:sz w:val="24"/>
                      <w:szCs w:val="24"/>
                    </w:rPr>
                    <w:t xml:space="preserve">Included for Health Care Law, </w:t>
                  </w:r>
                  <w:r>
                    <w:rPr>
                      <w:lang w:val="en-US"/>
                      <w:rFonts w:ascii="Georgia" w:hAnsi="Georgia" w:cs="Georgia"/>
                      <w:i/>
                      <w:u w:val="none"/>
                      <w:sz w:val="24"/>
                      <w:szCs w:val="24"/>
                      <w:color w:val="000000"/>
                    </w:rPr>
                    <w:t>Edition Best Lawyers™ in Germany</w:t>
                  </w:r>
                  <w:r>
                    <w:rPr>
                      <w:rFonts w:ascii="Georgia" w:hAnsi="Georgia" w:cs="Georgia"/>
                      <w:sz w:val="24"/>
                      <w:szCs w:val="24"/>
                    </w:rPr>
                    <w:t>, 2019-2020</w:t>
                  </w:r>
                </w:p>
              </w:tc>
            </w:tr>
            <w:tr>
              <w:tc>
                <w:tcPr>
                  <w:tcW w:w="5846.4" w:type="dxa"/>
                </w:tcPr>
                <w:p>
                  <w:pPr/>
                </w:p>
                <w:p>
                  <w:pPr>
                    <w:numPr>
                      <w:ilvl w:val="0"/>
                      <w:numId w:val="5"/>
                    </w:numPr>
                    <w:spacing w:after="0"/>
                  </w:pPr>
                  <w:r>
                    <w:rPr>
                      <w:rFonts w:ascii="Georgia" w:hAnsi="Georgia" w:cs="Georgia"/>
                      <w:sz w:val="24"/>
                      <w:szCs w:val="24"/>
                    </w:rPr>
                    <w:t xml:space="preserve">Intellectual Property: Patent Litigation, Leading Individual, </w:t>
                  </w:r>
                  <w:r>
                    <w:rPr>
                      <w:lang w:val="en-US"/>
                      <w:rFonts w:ascii="Georgia" w:hAnsi="Georgia" w:cs="Georgia"/>
                      <w:i/>
                      <w:u w:val="none"/>
                      <w:sz w:val="24"/>
                      <w:szCs w:val="24"/>
                      <w:color w:val="000000"/>
                    </w:rPr>
                    <w:t>Legal 500 EMEA</w:t>
                  </w:r>
                  <w:r>
                    <w:rPr>
                      <w:rFonts w:ascii="Georgia" w:hAnsi="Georgia" w:cs="Georgia"/>
                      <w:sz w:val="24"/>
                      <w:szCs w:val="24"/>
                    </w:rPr>
                    <w:t>, 2018-2019</w:t>
                  </w:r>
                </w:p>
              </w:tc>
            </w:tr>
            <w:tr>
              <w:tc>
                <w:tcPr>
                  <w:tcW w:w="5846.4" w:type="dxa"/>
                </w:tcPr>
                <w:p>
                  <w:pPr/>
                </w:p>
                <w:p>
                  <w:pPr>
                    <w:numPr>
                      <w:ilvl w:val="0"/>
                      <w:numId w:val="6"/>
                    </w:numPr>
                    <w:spacing w:after="0"/>
                  </w:pPr>
                  <w:r>
                    <w:rPr>
                      <w:rFonts w:ascii="Georgia" w:hAnsi="Georgia" w:cs="Georgia"/>
                      <w:sz w:val="24"/>
                      <w:szCs w:val="24"/>
                    </w:rPr>
                    <w:t xml:space="preserve">Industry Focus: Healthcare and Life Sciences, </w:t>
                  </w:r>
                  <w:r>
                    <w:rPr>
                      <w:lang w:val="en-US"/>
                      <w:rFonts w:ascii="Georgia" w:hAnsi="Georgia" w:cs="Georgia"/>
                      <w:i/>
                      <w:u w:val="none"/>
                      <w:sz w:val="24"/>
                      <w:szCs w:val="24"/>
                      <w:color w:val="000000"/>
                    </w:rPr>
                    <w:t>Legal 500 EMEA</w:t>
                  </w:r>
                  <w:r>
                    <w:rPr>
                      <w:rFonts w:ascii="Georgia" w:hAnsi="Georgia" w:cs="Georgia"/>
                      <w:sz w:val="24"/>
                      <w:szCs w:val="24"/>
                    </w:rPr>
                    <w:t>, 2019</w:t>
                  </w:r>
                </w:p>
              </w:tc>
            </w:tr>
            <w:tr>
              <w:tc>
                <w:tcPr>
                  <w:tcW w:w="5846.4" w:type="dxa"/>
                </w:tcPr>
                <w:p>
                  <w:pPr/>
                </w:p>
                <w:p>
                  <w:pPr>
                    <w:numPr>
                      <w:ilvl w:val="0"/>
                      <w:numId w:val="7"/>
                    </w:numPr>
                    <w:spacing w:after="0"/>
                  </w:pPr>
                  <w:r>
                    <w:rPr>
                      <w:rFonts w:ascii="Georgia" w:hAnsi="Georgia" w:cs="Georgia"/>
                      <w:sz w:val="24"/>
                      <w:szCs w:val="24"/>
                    </w:rPr>
                    <w:t xml:space="preserve">Included for Litigation, </w:t>
                  </w:r>
                  <w:r>
                    <w:rPr>
                      <w:lang w:val="en-US"/>
                      <w:rFonts w:ascii="Georgia" w:hAnsi="Georgia" w:cs="Georgia"/>
                      <w:i/>
                      <w:u w:val="none"/>
                      <w:sz w:val="24"/>
                      <w:szCs w:val="24"/>
                      <w:color w:val="000000"/>
                    </w:rPr>
                    <w:t>Edition Best Lawyers™ in Germany</w:t>
                  </w:r>
                  <w:r>
                    <w:rPr>
                      <w:rFonts w:ascii="Georgia" w:hAnsi="Georgia" w:cs="Georgia"/>
                      <w:sz w:val="24"/>
                      <w:szCs w:val="24"/>
                    </w:rPr>
                    <w:t>, 2019-2020</w:t>
                  </w:r>
                </w:p>
              </w:tc>
            </w:tr>
            <w:tr>
              <w:tc>
                <w:tcPr>
                  <w:tcW w:w="5846.4" w:type="dxa"/>
                </w:tcPr>
                <w:p>
                  <w:pPr/>
                </w:p>
                <w:p>
                  <w:pPr>
                    <w:numPr>
                      <w:ilvl w:val="0"/>
                      <w:numId w:val="8"/>
                    </w:numPr>
                    <w:spacing w:after="0"/>
                  </w:pPr>
                  <w:r>
                    <w:rPr>
                      <w:rFonts w:ascii="Georgia" w:hAnsi="Georgia" w:cs="Georgia"/>
                      <w:sz w:val="24"/>
                      <w:szCs w:val="24"/>
                    </w:rPr>
                    <w:t xml:space="preserve">Included for Pharmaceuticals Law, </w:t>
                  </w:r>
                  <w:r>
                    <w:rPr>
                      <w:lang w:val="en-US"/>
                      <w:rFonts w:ascii="Georgia" w:hAnsi="Georgia" w:cs="Georgia"/>
                      <w:i/>
                      <w:u w:val="none"/>
                      <w:sz w:val="24"/>
                      <w:szCs w:val="24"/>
                      <w:color w:val="000000"/>
                    </w:rPr>
                    <w:t>Edition Best Lawyers™ in Germany</w:t>
                  </w:r>
                  <w:r>
                    <w:rPr>
                      <w:rFonts w:ascii="Georgia" w:hAnsi="Georgia" w:cs="Georgia"/>
                      <w:sz w:val="24"/>
                      <w:szCs w:val="24"/>
                    </w:rPr>
                    <w:t>, 2019-2020</w:t>
                  </w:r>
                </w:p>
              </w:tc>
            </w:tr>
            <w:tr>
              <w:tc>
                <w:tcPr>
                  <w:tcW w:w="5846.4" w:type="dxa"/>
                </w:tcPr>
                <w:p>
                  <w:pPr/>
                </w:p>
                <w:p>
                  <w:pPr>
                    <w:numPr>
                      <w:ilvl w:val="0"/>
                      <w:numId w:val="9"/>
                    </w:numPr>
                    <w:spacing w:after="0"/>
                  </w:pPr>
                  <w:r>
                    <w:rPr>
                      <w:rFonts w:ascii="Georgia" w:hAnsi="Georgia" w:cs="Georgia"/>
                      <w:sz w:val="24"/>
                      <w:szCs w:val="24"/>
                    </w:rPr>
                    <w:t xml:space="preserve">Included for Intellectual Property Law, </w:t>
                  </w:r>
                  <w:r>
                    <w:rPr>
                      <w:lang w:val="en-US"/>
                      <w:rFonts w:ascii="Georgia" w:hAnsi="Georgia" w:cs="Georgia"/>
                      <w:i/>
                      <w:u w:val="none"/>
                      <w:sz w:val="24"/>
                      <w:szCs w:val="24"/>
                      <w:color w:val="000000"/>
                    </w:rPr>
                    <w:t>Edition Best Lawyers™ in Germany</w:t>
                  </w:r>
                  <w:r>
                    <w:rPr>
                      <w:rFonts w:ascii="Georgia" w:hAnsi="Georgia" w:cs="Georgia"/>
                      <w:sz w:val="24"/>
                      <w:szCs w:val="24"/>
                    </w:rPr>
                    <w:t>, 2019-2020</w:t>
                  </w:r>
                </w:p>
              </w:tc>
            </w:tr>
            <w:tr>
              <w:tc>
                <w:tcPr>
                  <w:tcW w:w="5846.4" w:type="dxa"/>
                </w:tcPr>
                <w:p>
                  <w:pPr/>
                </w:p>
                <w:p>
                  <w:pPr>
                    <w:numPr>
                      <w:ilvl w:val="0"/>
                      <w:numId w:val="10"/>
                    </w:numPr>
                    <w:spacing w:after="0"/>
                  </w:pPr>
                  <w:r>
                    <w:rPr>
                      <w:rFonts w:ascii="Georgia" w:hAnsi="Georgia" w:cs="Georgia"/>
                      <w:sz w:val="24"/>
                      <w:szCs w:val="24"/>
                    </w:rPr>
                    <w:t xml:space="preserve">Acritas Star, </w:t>
                  </w:r>
                  <w:r>
                    <w:rPr>
                      <w:lang w:val="en-US"/>
                      <w:rFonts w:ascii="Georgia" w:hAnsi="Georgia" w:cs="Georgia"/>
                      <w:i/>
                      <w:u w:val="none"/>
                      <w:sz w:val="24"/>
                      <w:szCs w:val="24"/>
                      <w:color w:val="000000"/>
                    </w:rPr>
                    <w:t>Acritas Stars Independently Rated Lawyers</w:t>
                  </w:r>
                  <w:r>
                    <w:rPr>
                      <w:rFonts w:ascii="Georgia" w:hAnsi="Georgia" w:cs="Georgia"/>
                      <w:sz w:val="24"/>
                      <w:szCs w:val="24"/>
                    </w:rPr>
                    <w:t>, 2018-2020</w:t>
                  </w:r>
                </w:p>
              </w:tc>
            </w:tr>
            <w:tr>
              <w:tc>
                <w:tcPr>
                  <w:tcW w:w="5846.4" w:type="dxa"/>
                </w:tcPr>
                <w:p>
                  <w:pPr/>
                </w:p>
                <w:p>
                  <w:pPr>
                    <w:numPr>
                      <w:ilvl w:val="0"/>
                      <w:numId w:val="11"/>
                    </w:numPr>
                    <w:spacing w:after="0"/>
                  </w:pPr>
                  <w:r>
                    <w:rPr>
                      <w:rFonts w:ascii="Georgia" w:hAnsi="Georgia" w:cs="Georgia"/>
                      <w:sz w:val="24"/>
                      <w:szCs w:val="24"/>
                    </w:rPr>
                    <w:t xml:space="preserve">Intellectual Property: Patent Litigation (Germany), </w:t>
                  </w:r>
                  <w:r>
                    <w:rPr>
                      <w:lang w:val="en-US"/>
                      <w:rFonts w:ascii="Georgia" w:hAnsi="Georgia" w:cs="Georgia"/>
                      <w:i/>
                      <w:u w:val="none"/>
                      <w:sz w:val="24"/>
                      <w:szCs w:val="24"/>
                      <w:color w:val="000000"/>
                    </w:rPr>
                    <w:t>Chambers Global</w:t>
                  </w:r>
                  <w:r>
                    <w:rPr>
                      <w:rFonts w:ascii="Georgia" w:hAnsi="Georgia" w:cs="Georgia"/>
                      <w:sz w:val="24"/>
                      <w:szCs w:val="24"/>
                    </w:rPr>
                    <w:t>, 2018-2020</w:t>
                  </w:r>
                </w:p>
              </w:tc>
            </w:tr>
            <w:tr>
              <w:tc>
                <w:tcPr>
                  <w:tcW w:w="5846.4" w:type="dxa"/>
                </w:tcPr>
                <w:p>
                  <w:pPr/>
                </w:p>
                <w:p>
                  <w:pPr>
                    <w:numPr>
                      <w:ilvl w:val="0"/>
                      <w:numId w:val="12"/>
                    </w:numPr>
                    <w:spacing w:after="0"/>
                  </w:pPr>
                  <w:r>
                    <w:rPr>
                      <w:rFonts w:ascii="Georgia" w:hAnsi="Georgia" w:cs="Georgia"/>
                      <w:sz w:val="24"/>
                      <w:szCs w:val="24"/>
                    </w:rPr>
                    <w:t xml:space="preserve">Listed as Patent Star, </w:t>
                  </w:r>
                  <w:r>
                    <w:rPr>
                      <w:lang w:val="en-US"/>
                      <w:rFonts w:ascii="Georgia" w:hAnsi="Georgia" w:cs="Georgia"/>
                      <w:i/>
                      <w:u w:val="none"/>
                      <w:sz w:val="24"/>
                      <w:szCs w:val="24"/>
                      <w:color w:val="000000"/>
                    </w:rPr>
                    <w:t>Managing Intellectual Property IP STARS</w:t>
                  </w:r>
                  <w:r>
                    <w:rPr>
                      <w:rFonts w:ascii="Georgia" w:hAnsi="Georgia" w:cs="Georgia"/>
                      <w:sz w:val="24"/>
                      <w:szCs w:val="24"/>
                    </w:rPr>
                    <w:t>, 2018</w:t>
                  </w:r>
                </w:p>
              </w:tc>
            </w:tr>
            <w:tr>
              <w:tc>
                <w:tcPr>
                  <w:tcW w:w="5846.4" w:type="dxa"/>
                </w:tcPr>
                <w:p>
                  <w:pPr/>
                </w:p>
                <w:p>
                  <w:pPr>
                    <w:numPr>
                      <w:ilvl w:val="0"/>
                      <w:numId w:val="13"/>
                    </w:numPr>
                    <w:spacing w:after="0"/>
                  </w:pPr>
                  <w:r>
                    <w:rPr>
                      <w:rFonts w:ascii="Georgia" w:hAnsi="Georgia" w:cs="Georgia"/>
                      <w:sz w:val="24"/>
                      <w:szCs w:val="24"/>
                    </w:rPr>
                    <w:t xml:space="preserve">Leading Senior Partner in Patent Litigation, </w:t>
                  </w:r>
                  <w:r>
                    <w:rPr>
                      <w:lang w:val="en-US"/>
                      <w:rFonts w:ascii="Georgia" w:hAnsi="Georgia" w:cs="Georgia"/>
                      <w:i/>
                      <w:u w:val="none"/>
                      <w:sz w:val="24"/>
                      <w:szCs w:val="24"/>
                      <w:color w:val="000000"/>
                    </w:rPr>
                    <w:t>JUVE handbook</w:t>
                  </w:r>
                  <w:r>
                    <w:rPr>
                      <w:rFonts w:ascii="Georgia" w:hAnsi="Georgia" w:cs="Georgia"/>
                      <w:sz w:val="24"/>
                      <w:szCs w:val="24"/>
                    </w:rPr>
                    <w:t>, 2020</w:t>
                  </w:r>
                </w:p>
              </w:tc>
            </w:tr>
            <w:tr>
              <w:tc>
                <w:tcPr>
                  <w:tcW w:w="5846.4" w:type="dxa"/>
                </w:tcPr>
                <w:p>
                  <w:pPr/>
                </w:p>
                <w:p>
                  <w:pPr>
                    <w:numPr>
                      <w:ilvl w:val="0"/>
                      <w:numId w:val="14"/>
                    </w:numPr>
                    <w:spacing w:after="0"/>
                  </w:pPr>
                  <w:r>
                    <w:rPr>
                      <w:rFonts w:ascii="Georgia" w:hAnsi="Georgia" w:cs="Georgia"/>
                      <w:sz w:val="24"/>
                      <w:szCs w:val="24"/>
                    </w:rPr>
                    <w:t xml:space="preserve">Leading individual for Patent Law: Dispute Resolution, </w:t>
                  </w:r>
                  <w:r>
                    <w:rPr>
                      <w:lang w:val="en-US"/>
                      <w:rFonts w:ascii="Georgia" w:hAnsi="Georgia" w:cs="Georgia"/>
                      <w:i/>
                      <w:u w:val="none"/>
                      <w:sz w:val="24"/>
                      <w:szCs w:val="24"/>
                      <w:color w:val="000000"/>
                    </w:rPr>
                    <w:t>Legal 500 Germany</w:t>
                  </w:r>
                  <w:r>
                    <w:rPr>
                      <w:rFonts w:ascii="Georgia" w:hAnsi="Georgia" w:cs="Georgia"/>
                      <w:sz w:val="24"/>
                      <w:szCs w:val="24"/>
                    </w:rPr>
                    <w:t>, 2022</w:t>
                  </w:r>
                </w:p>
              </w:tc>
            </w:tr>
            <w:tr>
              <w:tc>
                <w:tcPr>
                  <w:tcW w:w="5846.4" w:type="dxa"/>
                </w:tcPr>
                <w:p>
                  <w:pPr/>
                </w:p>
                <w:p>
                  <w:pPr>
                    <w:numPr>
                      <w:ilvl w:val="0"/>
                      <w:numId w:val="15"/>
                    </w:numPr>
                    <w:spacing w:after="0"/>
                  </w:pPr>
                  <w:r>
                    <w:rPr>
                      <w:rFonts w:ascii="Georgia" w:hAnsi="Georgia" w:cs="Georgia"/>
                      <w:sz w:val="24"/>
                      <w:szCs w:val="24"/>
                    </w:rPr>
                    <w:t xml:space="preserve">Top ranked lawyer for Patent Litigation, </w:t>
                  </w:r>
                  <w:r>
                    <w:rPr>
                      <w:lang w:val="en-US"/>
                      <w:rFonts w:ascii="Georgia" w:hAnsi="Georgia" w:cs="Georgia"/>
                      <w:i/>
                      <w:u w:val="none"/>
                      <w:sz w:val="24"/>
                      <w:szCs w:val="24"/>
                      <w:color w:val="000000"/>
                    </w:rPr>
                    <w:t>Chambers Global</w:t>
                  </w:r>
                  <w:r>
                    <w:rPr>
                      <w:rFonts w:ascii="Georgia" w:hAnsi="Georgia" w:cs="Georgia"/>
                      <w:sz w:val="24"/>
                      <w:szCs w:val="24"/>
                    </w:rPr>
                    <w:t>, 2023</w:t>
                  </w:r>
                </w:p>
              </w:tc>
            </w:tr>
            <w:tr>
              <w:tc>
                <w:tcPr>
                  <w:tcW w:w="5846.4" w:type="dxa"/>
                </w:tcPr>
                <w:p>
                  <w:pPr/>
                </w:p>
                <w:p>
                  <w:pPr>
                    <w:numPr>
                      <w:ilvl w:val="0"/>
                      <w:numId w:val="16"/>
                    </w:numPr>
                    <w:spacing w:after="0"/>
                  </w:pPr>
                  <w:r>
                    <w:rPr>
                      <w:rFonts w:ascii="Georgia" w:hAnsi="Georgia" w:cs="Georgia"/>
                      <w:sz w:val="24"/>
                      <w:szCs w:val="24"/>
                    </w:rPr>
                    <w:t xml:space="preserve">IAM Global Leader for Patent litigation, </w:t>
                  </w:r>
                  <w:r>
                    <w:rPr>
                      <w:lang w:val="en-US"/>
                      <w:rFonts w:ascii="Georgia" w:hAnsi="Georgia" w:cs="Georgia"/>
                      <w:i/>
                      <w:u w:val="none"/>
                      <w:sz w:val="24"/>
                      <w:szCs w:val="24"/>
                      <w:color w:val="000000"/>
                    </w:rPr>
                    <w:t>IAM 2024</w:t>
                  </w:r>
                  <w:r>
                    <w:rPr>
                      <w:rFonts w:ascii="Georgia" w:hAnsi="Georgia" w:cs="Georgia"/>
                      <w:sz w:val="24"/>
                      <w:szCs w:val="24"/>
                    </w:rPr>
                    <w:t>, 2024</w:t>
                  </w:r>
                </w:p>
              </w:tc>
            </w:tr>
            <w:tr>
              <w:tc>
                <w:tcPr>
                  <w:tcW w:w="5846.4" w:type="dxa"/>
                </w:tcPr>
                <w:p>
                  <w:pPr/>
                </w:p>
                <w:p>
                  <w:pPr>
                    <w:numPr>
                      <w:ilvl w:val="0"/>
                      <w:numId w:val="17"/>
                    </w:numPr>
                    <w:spacing w:after="0"/>
                  </w:pPr>
                  <w:r>
                    <w:rPr>
                      <w:rFonts w:ascii="Georgia" w:hAnsi="Georgia" w:cs="Georgia"/>
                      <w:sz w:val="24"/>
                      <w:szCs w:val="24"/>
                    </w:rPr>
                    <w:t xml:space="preserve">Leading lawyer for Intellectual Property: Patent Litigation, </w:t>
                  </w:r>
                  <w:r>
                    <w:rPr>
                      <w:lang w:val="en-US"/>
                      <w:rFonts w:ascii="Georgia" w:hAnsi="Georgia" w:cs="Georgia"/>
                      <w:i/>
                      <w:u w:val="none"/>
                      <w:sz w:val="24"/>
                      <w:szCs w:val="24"/>
                      <w:color w:val="000000"/>
                    </w:rPr>
                    <w:t>Chambers Global</w:t>
                  </w:r>
                  <w:r>
                    <w:rPr>
                      <w:rFonts w:ascii="Georgia" w:hAnsi="Georgia" w:cs="Georgia"/>
                      <w:sz w:val="24"/>
                      <w:szCs w:val="24"/>
                    </w:rPr>
                    <w:t>, 2025</w:t>
                  </w:r>
                </w:p>
              </w:tc>
            </w:tr>
            <w:tr>
              <w:tc>
                <w:tcPr>
                  <w:tcW w:w="5846.4" w:type="dxa"/>
                </w:tcPr>
                <w:p>
                  <w:pPr/>
                </w:p>
                <w:p>
                  <w:pPr>
                    <w:numPr>
                      <w:ilvl w:val="0"/>
                      <w:numId w:val="18"/>
                    </w:numPr>
                    <w:spacing w:after="0"/>
                  </w:pPr>
                  <w:r>
                    <w:rPr>
                      <w:rFonts w:ascii="Georgia" w:hAnsi="Georgia" w:cs="Georgia"/>
                      <w:sz w:val="24"/>
                      <w:szCs w:val="24"/>
                    </w:rPr>
                    <w:t xml:space="preserve">Hall of Fame for Patent Litigation: Solicitors: Dispute Resolution, </w:t>
                  </w:r>
                  <w:r>
                    <w:rPr>
                      <w:lang w:val="en-US"/>
                      <w:rFonts w:ascii="Georgia" w:hAnsi="Georgia" w:cs="Georgia"/>
                      <w:i/>
                      <w:u w:val="none"/>
                      <w:sz w:val="24"/>
                      <w:szCs w:val="24"/>
                      <w:color w:val="000000"/>
                    </w:rPr>
                    <w:t>Legal 500 Germany</w:t>
                  </w:r>
                  <w:r>
                    <w:rPr>
                      <w:rFonts w:ascii="Georgia" w:hAnsi="Georgia" w:cs="Georgia"/>
                      <w:sz w:val="24"/>
                      <w:szCs w:val="24"/>
                    </w:rPr>
                    <w:t>, 2025</w:t>
                  </w:r>
                </w:p>
              </w:tc>
            </w:tr>
            <w:tr>
              <w:tc>
                <w:tcPr>
                  <w:tcW w:w="5846.4" w:type="dxa"/>
                </w:tcPr>
                <w:p>
                  <w:pPr/>
                </w:p>
                <w:p>
                  <w:pPr>
                    <w:numPr>
                      <w:ilvl w:val="0"/>
                      <w:numId w:val="19"/>
                    </w:numPr>
                    <w:spacing w:after="0"/>
                  </w:pPr>
                  <w:r>
                    <w:rPr>
                      <w:rFonts w:ascii="Georgia" w:hAnsi="Georgia" w:cs="Georgia"/>
                      <w:sz w:val="24"/>
                      <w:szCs w:val="24"/>
                    </w:rPr>
                    <w:t xml:space="preserve">Recommended lawyer for Healthcare, </w:t>
                  </w:r>
                  <w:r>
                    <w:rPr>
                      <w:lang w:val="en-US"/>
                      <w:rFonts w:ascii="Georgia" w:hAnsi="Georgia" w:cs="Georgia"/>
                      <w:i/>
                      <w:u w:val="none"/>
                      <w:sz w:val="24"/>
                      <w:szCs w:val="24"/>
                      <w:color w:val="000000"/>
                    </w:rPr>
                    <w:t>Legal 500 Germany</w:t>
                  </w:r>
                  <w:r>
                    <w:rPr>
                      <w:rFonts w:ascii="Georgia" w:hAnsi="Georgia" w:cs="Georgia"/>
                      <w:sz w:val="24"/>
                      <w:szCs w:val="24"/>
                    </w:rPr>
                    <w:t>, 2025</w:t>
                  </w:r>
                </w:p>
              </w:tc>
            </w:tr>
          </w:tbl>
          <w:p>
            <w:pPr/>
          </w:p>
          <w:p w:rsidR="009D34CC" w:rsidRPr="00086676" w:rsidRDefault="009D34CC" w:rsidP="009E0501">
            <w:pPr>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1_Latest thinking and events"/>
            </w:tblPr>
            <w:tblGrid>
              <w:gridCol w:w="5841"/>
            </w:tblGrid>
            <w:tr w:rsidR="004A1494" w:rsidTr="00FF36A3">
              <w:tc>
                <w:tcPr>
                  <w:tcW w:w="5841" w:type="dxa"/>
                </w:tcPr>
                <w:p w:rsidR="004A1494" w:rsidRPr="00F90870" w:rsidRDefault="004A1494" w:rsidP="00D01155">
                  <w:pPr>
                    <w:rPr>
                      <w:sz w:val="44"/>
                      <w:szCs w:val="44"/>
                    </w:rPr>
                  </w:pPr>
                  <w:r>
                    <w:rPr>
                      <w:lang w:val="en-US"/>
                      <w:rFonts w:ascii="Calibri" w:hAnsi="Calibri" w:cs="Calibri"/>
                      <w:u w:val="none"/>
                      <w:sz w:val="40"/>
                      <w:szCs w:val="40"/>
                      <w:color w:val="58A618"/>
                    </w:rPr>
                    <w:t>Latest thinking and events</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2_LatestthinkingandeventsList"/>
            </w:tblPr>
            <w:tblGrid>
              <w:gridCol w:w="5841"/>
            </w:tblGrid>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Hogan Lovells secures another win for Tulip Innovation in battery patent dispute against Sunwoda Group</w:t>
                  </w:r>
                  <w:r>
                    <w:rPr>
                      <w:rFonts w:ascii="Georgia" w:hAnsi="Georgia" w:cs="Georgia"/>
                      <w:sz w:val="20"/>
                      <w:szCs w:val="20"/>
                    </w:rPr>
                    <w:br/>
                  </w:r>
                  <w:r>
                    <w:rPr>
                      <w:rFonts w:ascii="Georgia" w:hAnsi="Georgia" w:cs="Georgia"/>
                      <w:sz w:val="20"/>
                      <w:szCs w:val="20"/>
                    </w:rPr>
                    <w:t>23 July 2025</w:t>
                  </w:r>
                </w:p>
              </w:tc>
            </w:tr>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Hogan Lovells Secures Landmark Injunctions for Tulip Innovation in Battery Patent Dispute Against Sunwoda Group</w:t>
                  </w:r>
                  <w:r>
                    <w:rPr>
                      <w:rFonts w:ascii="Georgia" w:hAnsi="Georgia" w:cs="Georgia"/>
                      <w:sz w:val="20"/>
                      <w:szCs w:val="20"/>
                    </w:rPr>
                    <w:br/>
                  </w:r>
                  <w:r>
                    <w:rPr>
                      <w:rFonts w:ascii="Georgia" w:hAnsi="Georgia" w:cs="Georgia"/>
                      <w:sz w:val="20"/>
                      <w:szCs w:val="20"/>
                    </w:rPr>
                    <w:t>28 May 2025</w:t>
                  </w:r>
                </w:p>
              </w:tc>
            </w:tr>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Hogan Lovells acting in three of the five most influential Unified Patent Court cases named by JUVE Patent</w:t>
                  </w:r>
                  <w:r>
                    <w:rPr>
                      <w:rFonts w:ascii="Georgia" w:hAnsi="Georgia" w:cs="Georgia"/>
                      <w:sz w:val="20"/>
                      <w:szCs w:val="20"/>
                    </w:rPr>
                    <w:br/>
                  </w:r>
                  <w:r>
                    <w:rPr>
                      <w:rFonts w:ascii="Georgia" w:hAnsi="Georgia" w:cs="Georgia"/>
                      <w:sz w:val="20"/>
                      <w:szCs w:val="20"/>
                    </w:rPr>
                    <w:t>07 June 2024</w:t>
                  </w:r>
                </w:p>
              </w:tc>
            </w:tr>
            <w:tr>
              <w:tc>
                <w:tcPr>
                  <w:tcW w:w="5846.4" w:type="dxa"/>
                </w:tcPr>
                <w:p>
                  <w:pPr>
                    <w:spacing w:after="220"/>
                  </w:pPr>
                  <w:r>
                    <w:rPr>
                      <w:lang w:val="en-US"/>
                      <w:rFonts w:ascii="Georgia" w:hAnsi="Georgia" w:cs="Georgia"/>
                      <w:u w:val="none"/>
                      <w:sz w:val="24"/>
                      <w:szCs w:val="24"/>
                      <w:color w:val="58A618"/>
                    </w:rPr>
                    <w:t>Hogan Lovells Events</w:t>
                  </w:r>
                  <w:r>
                    <w:rPr>
                      <w:rFonts w:ascii="Georgia" w:hAnsi="Georgia" w:cs="Georgia"/>
                      <w:sz w:val="24"/>
                      <w:szCs w:val="24"/>
                    </w:rPr>
                    <w:br/>
                  </w:r>
                  <w:r>
                    <w:rPr>
                      <w:rFonts w:ascii="Georgia" w:hAnsi="Georgia" w:cs="Georgia"/>
                      <w:sz w:val="24"/>
                      <w:szCs w:val="24"/>
                    </w:rPr>
                    <w:t>Select IP with Hogan Lovells | Webinar no. 23</w:t>
                  </w:r>
                  <w:r>
                    <w:rPr>
                      <w:rFonts w:ascii="Georgia" w:hAnsi="Georgia" w:cs="Georgia"/>
                      <w:sz w:val="20"/>
                      <w:szCs w:val="20"/>
                    </w:rPr>
                    <w:br/>
                  </w:r>
                  <w:r>
                    <w:rPr>
                      <w:rFonts w:ascii="Georgia" w:hAnsi="Georgia" w:cs="Georgia"/>
                      <w:sz w:val="20"/>
                      <w:szCs w:val="20"/>
                    </w:rPr>
                    <w:t>7 March 2024 | 15:00 p.m. - 16:30 p.m. (JST)</w:t>
                  </w:r>
                </w:p>
              </w:tc>
            </w:tr>
            <w:tr>
              <w:tc>
                <w:tcPr>
                  <w:tcW w:w="5846.4" w:type="dxa"/>
                </w:tcPr>
                <w:p>
                  <w:pPr>
                    <w:spacing w:after="220"/>
                  </w:pPr>
                  <w:r>
                    <w:rPr>
                      <w:lang w:val="en-US"/>
                      <w:rFonts w:ascii="Georgia" w:hAnsi="Georgia" w:cs="Georgia"/>
                      <w:u w:val="none"/>
                      <w:sz w:val="24"/>
                      <w:szCs w:val="24"/>
                      <w:color w:val="58A618"/>
                    </w:rPr>
                    <w:t>Insights and Analysis</w:t>
                  </w:r>
                  <w:r>
                    <w:rPr>
                      <w:rFonts w:ascii="Georgia" w:hAnsi="Georgia" w:cs="Georgia"/>
                      <w:sz w:val="24"/>
                      <w:szCs w:val="24"/>
                    </w:rPr>
                    <w:br/>
                  </w:r>
                  <w:r>
                    <w:rPr>
                      <w:rFonts w:ascii="Georgia" w:hAnsi="Georgia" w:cs="Georgia"/>
                      <w:sz w:val="24"/>
                      <w:szCs w:val="24"/>
                    </w:rPr>
                    <w:t>The SPC Manufacturing Waiver: how it works and potential issues</w:t>
                  </w:r>
                  <w:r>
                    <w:rPr>
                      <w:rFonts w:ascii="Georgia" w:hAnsi="Georgia" w:cs="Georgia"/>
                      <w:sz w:val="20"/>
                      <w:szCs w:val="20"/>
                    </w:rPr>
                    <w:br/>
                  </w:r>
                  <w:r>
                    <w:rPr>
                      <w:rFonts w:ascii="Georgia" w:hAnsi="Georgia" w:cs="Georgia"/>
                      <w:sz w:val="20"/>
                      <w:szCs w:val="20"/>
                    </w:rPr>
                    <w:t>26 July 2022</w:t>
                  </w:r>
                </w:p>
              </w:tc>
            </w:tr>
            <w:tr>
              <w:tc>
                <w:tcPr>
                  <w:tcW w:w="5846.4" w:type="dxa"/>
                </w:tcPr>
                <w:p>
                  <w:pPr>
                    <w:spacing w:after="220"/>
                  </w:pPr>
                  <w:r>
                    <w:rPr>
                      <w:lang w:val="en-US"/>
                      <w:rFonts w:ascii="Georgia" w:hAnsi="Georgia" w:cs="Georgia"/>
                      <w:u w:val="none"/>
                      <w:sz w:val="24"/>
                      <w:szCs w:val="24"/>
                      <w:color w:val="58A618"/>
                    </w:rPr>
                    <w:t>Insights and Analysis</w:t>
                  </w:r>
                  <w:r>
                    <w:rPr>
                      <w:rFonts w:ascii="Georgia" w:hAnsi="Georgia" w:cs="Georgia"/>
                      <w:sz w:val="24"/>
                      <w:szCs w:val="24"/>
                    </w:rPr>
                    <w:br/>
                  </w:r>
                  <w:r>
                    <w:rPr>
                      <w:rFonts w:ascii="Georgia" w:hAnsi="Georgia" w:cs="Georgia"/>
                      <w:sz w:val="24"/>
                      <w:szCs w:val="24"/>
                    </w:rPr>
                    <w:t>Energy Transition - Impacts on your business</w:t>
                  </w:r>
                  <w:r>
                    <w:rPr>
                      <w:rFonts w:ascii="Georgia" w:hAnsi="Georgia" w:cs="Georgia"/>
                      <w:sz w:val="20"/>
                      <w:szCs w:val="20"/>
                    </w:rPr>
                    <w:br/>
                  </w:r>
                  <w:r>
                    <w:rPr>
                      <w:rFonts w:ascii="Georgia" w:hAnsi="Georgia" w:cs="Georgia"/>
                      <w:sz w:val="20"/>
                      <w:szCs w:val="20"/>
                    </w:rPr>
                    <w:t>15 February 2022</w:t>
                  </w:r>
                </w:p>
              </w:tc>
            </w:tr>
          </w:tbl>
          <w:p w:rsidR="004A1494" w:rsidRPr="000F40F9" w:rsidRDefault="004A1494" w:rsidP="00D01155">
            <w:pPr>
              <w:ind w:left="-383" w:firstLine="383"/>
              <w:rPr>
                <w:sz w:val="8"/>
                <w:szCs w:val="8"/>
              </w:rPr>
            </w:pPr>
          </w:p>
        </w:tc>
        <w:tc>
          <w:tcPr>
            <w:cnfStyle w:val="000100000000" w:firstRow="0" w:lastRow="0" w:firstColumn="0" w:lastColumn="1" w:oddVBand="0" w:evenVBand="0" w:oddHBand="0" w:evenHBand="0" w:firstRowFirstColumn="0" w:firstRowLastColumn="0" w:lastRowFirstColumn="0" w:lastRowLastColumn="0"/>
            <w:tcW w:w="3984" w:type="dxa"/>
          </w:tcPr>
          <w:p w:rsidR="004A1494" w:rsidRDefault="004A1494" w:rsidP="004A1494">
            <w:pPr>
              <w:ind w:right="-1008"/>
            </w:pPr>
          </w:p>
          <w:tbl>
            <w:tblPr>
              <w:tblStyle w:val="TableGrid"/>
              <w:tblW w:w="3701"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3_BioImage"/>
            </w:tblPr>
            <w:tblGrid>
              <w:gridCol w:w="3701"/>
            </w:tblGrid>
            <w:tr w:rsidR="004A1494" w:rsidTr="0081713D">
              <w:trPr>
                <w:trHeight w:val="3506"/>
              </w:trPr>
              <w:tc>
                <w:tcPr>
                  <w:tcW w:w="3701" w:type="dxa"/>
                </w:tcPr>
                <w:p w:rsidR="004A1494" w:rsidRDefault="00B4431E">
                  <w:r xmlns:w="http://schemas.openxmlformats.org/wordprocessingml/2006/main">
                    <drawing xmlns="http://schemas.openxmlformats.org/wordprocessingml/2006/main">
                      <wp:inline xmlns:wp="http://schemas.openxmlformats.org/drawingml/2006/wordprocessingDrawing" distT="0" distB="0" distL="0" distR="0">
                        <wp:extent cx="2190980" cy="2190980"/>
                        <wp:effectExtent l="0" t="0" r="0" b="0"/>
                        <wp:docPr id="3"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26af98457c74405"/>
                                <a:stretch>
                                  <a:fillRect/>
                                </a:stretch>
                              </pic:blipFill>
                              <pic:spPr>
                                <a:xfrm>
                                  <a:off x="0" y="0"/>
                                  <a:ext cx="2190980" cy="2190980"/>
                                </a:xfrm>
                                <a:prstGeom prst="rect">
                                  <a:avLst/>
                                </a:prstGeom>
                              </pic:spPr>
                            </pic:pic>
                          </a:graphicData>
                        </a:graphic>
                      </wp:inline>
                    </drawing>
                  </w:r>
                </w:p>
              </w:tc>
            </w:tr>
          </w:tbl>
          <w:p w:rsidR="004A1494" w:rsidRPr="00611079" w:rsidRDefault="004A1494">
            <w:pPr>
              <w:rPr>
                <w:sz w:val="16"/>
                <w:szCs w:val="16"/>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4_Phone"/>
            </w:tblPr>
            <w:tblGrid>
              <w:gridCol w:w="3684"/>
            </w:tblGrid>
            <w:tr w:rsidR="004A1494" w:rsidTr="008F5988">
              <w:tc>
                <w:tcPr>
                  <w:tcW w:w="3684" w:type="dxa"/>
                </w:tcPr>
                <w:p w:rsidR="004A1494" w:rsidRPr="004F5D1F" w:rsidRDefault="004A1494">
                  <w:pPr>
                    <w:rPr>
                      <w:sz w:val="36"/>
                      <w:szCs w:val="36"/>
                    </w:rPr>
                  </w:pPr>
                  <w:r>
                    <w:rPr>
                      <w:lang w:val="en-US"/>
                      <w:rFonts w:ascii="Georgia" w:hAnsi="Georgia" w:cs="Georgia"/>
                      <w:u w:val="none"/>
                      <w:sz w:val="36"/>
                      <w:szCs w:val="36"/>
                      <w:color w:val="000000"/>
                    </w:rPr>
                    <w:t>Phone</w:t>
                  </w:r>
                </w:p>
              </w:tc>
            </w:tr>
          </w:tbl>
          <w:p w:rsidR="004A1494" w:rsidRPr="00F20A7A" w:rsidRDefault="00F20A7A">
            <w:pPr>
              <w:rPr>
                <w:sz w:val="4"/>
                <w:szCs w:val="4"/>
              </w:rPr>
            </w:pPr>
            <w:r>
              <w:t xml:space="preserve">          </w:t>
            </w: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5_PhoneList"/>
            </w:tblPr>
            <w:tblGrid>
              <w:gridCol w:w="3684"/>
            </w:tblGrid>
            <w:tr>
              <w:tc>
                <w:tcPr>
                  <w:tcW w:w="3686.4" w:type="dxa"/>
                </w:tcPr>
                <w:p>
                  <w:pPr>
                    <w:spacing w:after="40"/>
                  </w:pPr>
                  <w:r>
                    <w:rPr>
                      <w:lang w:val="en-US"/>
                      <w:rFonts w:ascii="Georgia" w:hAnsi="Georgia" w:cs="Georgia"/>
                      <w:u w:val="none"/>
                      <w:sz w:val="24"/>
                      <w:szCs w:val="24"/>
                      <w:color w:val="000000"/>
                    </w:rPr>
                    <w:t>+49 211 13 68 326</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6_Fax"/>
            </w:tblPr>
            <w:tblGrid>
              <w:gridCol w:w="3684"/>
            </w:tblGrid>
            <w:tr w:rsidR="004A1494" w:rsidTr="00FF36A3">
              <w:tc>
                <w:tcPr>
                  <w:tcW w:w="3684" w:type="dxa"/>
                </w:tcPr>
                <w:p w:rsidR="004A1494" w:rsidRPr="004F5D1F" w:rsidRDefault="004A1494">
                  <w:pPr>
                    <w:rPr>
                      <w:sz w:val="36"/>
                      <w:szCs w:val="36"/>
                    </w:rPr>
                  </w:pPr>
                  <w:r>
                    <w:rPr>
                      <w:lang w:val="en-US"/>
                      <w:rFonts w:ascii="Georgia" w:hAnsi="Georgia" w:cs="Georgia"/>
                      <w:u w:val="none"/>
                      <w:sz w:val="36"/>
                      <w:szCs w:val="36"/>
                      <w:color w:val="000000"/>
                    </w:rPr>
                    <w:t>Fax</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7_FaxList"/>
            </w:tblPr>
            <w:tblGrid>
              <w:gridCol w:w="3684"/>
            </w:tblGrid>
            <w:tr>
              <w:tc>
                <w:tcPr>
                  <w:tcW w:w="3686.4" w:type="dxa"/>
                </w:tcPr>
                <w:p>
                  <w:pPr>
                    <w:spacing w:after="40"/>
                  </w:pPr>
                  <w:r>
                    <w:rPr>
                      <w:lang w:val="en-US"/>
                      <w:rFonts w:ascii="Georgia" w:hAnsi="Georgia" w:cs="Georgia"/>
                      <w:u w:val="none"/>
                      <w:sz w:val="24"/>
                      <w:szCs w:val="24"/>
                      <w:color w:val="000000"/>
                    </w:rPr>
                    <w:t>+49 211 13 68 100</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8_Email"/>
            </w:tblPr>
            <w:tblGrid>
              <w:gridCol w:w="3684"/>
            </w:tblGrid>
            <w:tr w:rsidR="004A1494" w:rsidTr="00FF36A3">
              <w:tc>
                <w:tcPr>
                  <w:tcW w:w="3684" w:type="dxa"/>
                </w:tcPr>
                <w:p w:rsidR="004A1494" w:rsidRPr="004F5D1F" w:rsidRDefault="004A1494">
                  <w:pPr>
                    <w:rPr>
                      <w:sz w:val="36"/>
                      <w:szCs w:val="36"/>
                    </w:rPr>
                  </w:pPr>
                  <w:r>
                    <w:rPr>
                      <w:lang w:val="en-US"/>
                      <w:rFonts w:ascii="Georgia" w:hAnsi="Georgia" w:cs="Georgia"/>
                      <w:u w:val="none"/>
                      <w:sz w:val="36"/>
                      <w:szCs w:val="36"/>
                      <w:color w:val="000000"/>
                    </w:rPr>
                    <w:t>Email</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9_email@email.com"/>
            </w:tblPr>
            <w:tblGrid>
              <w:gridCol w:w="3684"/>
            </w:tblGrid>
            <w:tr w:rsidR="004A1494" w:rsidTr="00222681">
              <w:tc>
                <w:tcPr>
                  <w:tcW w:w="3684" w:type="dxa"/>
                </w:tcPr>
                <w:p w:rsidR="004A1494" w:rsidRDefault="004A1494">
                  <w:hyperlink r:id="Ra864eb61c6b14d8f" w:history="1">
                    <w:r>
                      <w:rPr>
                        <w:rStyle w:val="Hyperlink"/>
                        <w:rFonts w:ascii="Georgia" w:hAnsi="Georgia" w:cs="Georgia"/>
                        <w:sz w:val="22"/>
                        <w:szCs w:val="22"/>
                        <w:u w:val="none"/>
                      </w:rPr>
                      <w:t>andreas.vonfalck@hoganlovells.com</w:t>
                    </w:r>
                  </w:hyperlink>
                </w:p>
              </w:tc>
            </w:tr>
          </w:tbl>
          <w:p w:rsidR="004A1494" w:rsidRPr="00222681" w:rsidRDefault="004A1494">
            <w:pPr>
              <w:rPr>
                <w:sz w:val="24"/>
                <w:szCs w:val="2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0_border1"/>
            </w:tblPr>
            <w:tblGrid>
              <w:gridCol w:w="3684"/>
            </w:tblGrid>
            <w:tr w:rsidR="00D66ED7" w:rsidRPr="003D3503" w:rsidTr="00FE240B">
              <w:trPr>
                <w:trHeight w:val="161"/>
              </w:trPr>
              <w:tc>
                <w:tcPr>
                  <w:tcW w:w="3684" w:type="dxa"/>
                </w:tcPr>
                <w:p w:rsidR="00D66ED7" w:rsidRPr="003D3503" w:rsidRDefault="008967D7" w:rsidP="00222681">
                  <w:pPr>
                    <w:ind w:left="30" w:hanging="30"/>
                    <w:rPr>
                      <w:sz w:val="16"/>
                      <w:szCs w:val="16"/>
                    </w:rPr>
                  </w:pPr>
                  <w:r w:rsidRPr="003D3503">
                    <w:rPr>
                      <w:noProof/>
                      <w:color w:val="E7E6E6" w:themeColor="background2"/>
                      <w:sz w:val="16"/>
                      <w:szCs w:val="16"/>
                    </w:rPr>
                    <mc:AlternateContent>
                      <mc:Choice Requires="wps">
                        <w:drawing>
                          <wp:anchor distT="0" distB="0" distL="114300" distR="114300" simplePos="0" relativeHeight="251677696" behindDoc="0" locked="0" layoutInCell="1" allowOverlap="1" wp14:anchorId="14B0BB3C" wp14:editId="5B0B9987">
                            <wp:simplePos x="0" y="0"/>
                            <wp:positionH relativeFrom="column">
                              <wp:posOffset>6350</wp:posOffset>
                            </wp:positionH>
                            <wp:positionV relativeFrom="paragraph">
                              <wp:posOffset>52706</wp:posOffset>
                            </wp:positionV>
                            <wp:extent cx="2200275" cy="0"/>
                            <wp:effectExtent l="0" t="0" r="28575" b="19050"/>
                            <wp:wrapNone/>
                            <wp:docPr id="11" name="Straight Connector 11"/>
                            <wp:cNvGraphicFramePr/>
                            <a:graphic xmlns:a="http://schemas.openxmlformats.org/drawingml/2006/main">
                              <a:graphicData uri="http://schemas.microsoft.com/office/word/2010/wordprocessingShape">
                                <wps:wsp>
                                  <wps:cNvCnPr/>
                                  <wps:spPr>
                                    <a:xfrm>
                                      <a:off x="0" y="0"/>
                                      <a:ext cx="220027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2483564" id="Straight Connector 1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4.15pt" to="173.7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" strokecolor="#ccc" strokeweight="1.5pt">
                            <v:stroke joinstyle="miter"/>
                          </v:line>
                        </w:pict>
                      </mc:Fallback>
                    </mc:AlternateContent>
                  </w:r>
                </w:p>
              </w:tc>
            </w:tr>
          </w:tbl>
          <w:p w:rsidR="00D66ED7" w:rsidRPr="00F20A7A" w:rsidRDefault="00D66ED7">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1_Languages"/>
            </w:tblPr>
            <w:tblGrid>
              <w:gridCol w:w="3684"/>
            </w:tblGrid>
            <w:tr w:rsidR="004A1494" w:rsidTr="00B67200">
              <w:tc>
                <w:tcPr>
                  <w:tcW w:w="3684" w:type="dxa"/>
                </w:tcPr>
                <w:p w:rsidR="004A1494" w:rsidRPr="00F90870" w:rsidRDefault="004A1494">
                  <w:pPr>
                    <w:rPr>
                      <w:sz w:val="44"/>
                      <w:szCs w:val="44"/>
                    </w:rPr>
                  </w:pPr>
                  <w:r>
                    <w:rPr>
                      <w:lang w:val="en-US"/>
                      <w:rFonts w:ascii="Calibri" w:hAnsi="Calibri" w:cs="Calibri"/>
                      <w:u w:val="none"/>
                      <w:sz w:val="40"/>
                      <w:szCs w:val="40"/>
                      <w:color w:val="58A618"/>
                    </w:rPr>
                    <w:t>Languages</w:t>
                  </w:r>
                </w:p>
              </w:tc>
            </w:tr>
          </w:tbl>
          <w:p w:rsidR="00D66ED7" w:rsidRPr="00F20A7A" w:rsidRDefault="00D66ED7">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2_LanguagesList"/>
            </w:tblPr>
            <w:tblGrid>
              <w:gridCol w:w="3684"/>
            </w:tblGrid>
            <w:tr>
              <w:tc>
                <w:tcPr>
                  <w:tcW w:w="3686.4" w:type="dxa"/>
                </w:tcPr>
                <w:p>
                  <w:pPr>
                    <w:spacing w:after="220"/>
                  </w:pPr>
                  <w:r>
                    <w:rPr>
                      <w:lang w:val="en-US"/>
                      <w:rFonts w:ascii="Georgia" w:hAnsi="Georgia" w:cs="Georgia"/>
                      <w:u w:val="none"/>
                      <w:sz w:val="24"/>
                      <w:szCs w:val="24"/>
                      <w:color w:val="000000"/>
                    </w:rPr>
                    <w:t>English</w:t>
                  </w:r>
                </w:p>
              </w:tc>
            </w:tr>
            <w:tr>
              <w:tc>
                <w:tcPr>
                  <w:tcW w:w="3686.4" w:type="dxa"/>
                </w:tcPr>
                <w:p>
                  <w:pPr>
                    <w:spacing w:after="220"/>
                  </w:pPr>
                  <w:r>
                    <w:rPr>
                      <w:lang w:val="en-US"/>
                      <w:rFonts w:ascii="Georgia" w:hAnsi="Georgia" w:cs="Georgia"/>
                      <w:u w:val="none"/>
                      <w:sz w:val="24"/>
                      <w:szCs w:val="24"/>
                      <w:color w:val="000000"/>
                    </w:rPr>
                    <w:t>Italian</w:t>
                  </w:r>
                </w:p>
              </w:tc>
            </w:tr>
            <w:tr>
              <w:tc>
                <w:tcPr>
                  <w:tcW w:w="3686.4" w:type="dxa"/>
                </w:tcPr>
                <w:p>
                  <w:pPr>
                    <w:spacing w:after="220"/>
                  </w:pPr>
                  <w:r>
                    <w:rPr>
                      <w:lang w:val="en-US"/>
                      <w:rFonts w:ascii="Georgia" w:hAnsi="Georgia" w:cs="Georgia"/>
                      <w:u w:val="none"/>
                      <w:sz w:val="24"/>
                      <w:szCs w:val="24"/>
                      <w:color w:val="000000"/>
                    </w:rPr>
                    <w:t>French</w:t>
                  </w:r>
                </w:p>
              </w:tc>
            </w:tr>
            <w:tr>
              <w:tc>
                <w:tcPr>
                  <w:tcW w:w="3686.4" w:type="dxa"/>
                </w:tcPr>
                <w:p>
                  <w:pPr>
                    <w:spacing w:after="220"/>
                  </w:pPr>
                  <w:r>
                    <w:rPr>
                      <w:lang w:val="en-US"/>
                      <w:rFonts w:ascii="Georgia" w:hAnsi="Georgia" w:cs="Georgia"/>
                      <w:u w:val="none"/>
                      <w:sz w:val="24"/>
                      <w:szCs w:val="24"/>
                      <w:color w:val="000000"/>
                    </w:rPr>
                    <w:t>German</w:t>
                  </w:r>
                </w:p>
              </w:tc>
            </w:tr>
          </w:tbl>
          <w:p w:rsidR="00423DCE" w:rsidRPr="007007D0" w:rsidRDefault="00423DCE">
            <w:pPr>
              <w:rPr>
                <w:b w:val="0"/>
                <w:bCs w:val="0"/>
                <w:sz w:val="2"/>
                <w:szCs w:val="2"/>
              </w:rPr>
            </w:pPr>
          </w:p>
          <w:tbl>
            <w:tblPr>
              <w:tblStyle w:val="TableGrid"/>
              <w:tblW w:w="3730" w:type="dxa"/>
              <w:tblInd w:w="1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3_border2"/>
            </w:tblPr>
            <w:tblGrid>
              <w:gridCol w:w="3730"/>
            </w:tblGrid>
            <w:tr w:rsidR="00423DCE" w:rsidTr="007007D0">
              <w:trPr>
                <w:trHeight w:val="253"/>
              </w:trPr>
              <w:tc>
                <w:tcPr>
                  <w:tcW w:w="3730" w:type="dxa"/>
                </w:tcPr>
                <w:p w:rsidR="00423DCE" w:rsidRDefault="00423DCE">
                  <w:pPr>
                    <w:rPr>
                      <w:sz w:val="20"/>
                      <w:szCs w:val="20"/>
                    </w:rPr>
                  </w:pPr>
                  <w:r w:rsidRPr="003D3503">
                    <w:rPr>
                      <w:noProof/>
                      <w:color w:val="E7E6E6" w:themeColor="background2"/>
                      <w:sz w:val="16"/>
                      <w:szCs w:val="16"/>
                    </w:rPr>
                    <mc:AlternateContent>
                      <mc:Choice Requires="wps">
                        <w:drawing>
                          <wp:anchor distT="0" distB="0" distL="114300" distR="114300" simplePos="0" relativeHeight="251700224" behindDoc="0" locked="0" layoutInCell="1" allowOverlap="1" wp14:anchorId="0D3DFF00" wp14:editId="1E6C5FB2">
                            <wp:simplePos x="0" y="0"/>
                            <wp:positionH relativeFrom="column">
                              <wp:posOffset>-1905</wp:posOffset>
                            </wp:positionH>
                            <wp:positionV relativeFrom="paragraph">
                              <wp:posOffset>59056</wp:posOffset>
                            </wp:positionV>
                            <wp:extent cx="2219325" cy="0"/>
                            <wp:effectExtent l="0" t="0" r="28575" b="19050"/>
                            <wp:wrapNone/>
                            <wp:docPr id="15" name="Straight Connector 15"/>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2FA7A1E" id="Straight Connector 15"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4.65pt" to="174.6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" strokecolor="#ccc" strokeweight="1.5pt">
                            <v:stroke joinstyle="miter"/>
                          </v:line>
                        </w:pict>
                      </mc:Fallback>
                    </mc:AlternateContent>
                  </w:r>
                </w:p>
              </w:tc>
            </w:tr>
          </w:tbl>
          <w:p w:rsidR="00D66ED7" w:rsidRPr="007007D0" w:rsidRDefault="00D66ED7">
            <w:pPr>
              <w:rPr>
                <w:sz w:val="2"/>
                <w:szCs w:val="2"/>
              </w:rPr>
            </w:pPr>
          </w:p>
          <w:tbl>
            <w:tblPr>
              <w:tblStyle w:val="TableGrid"/>
              <w:tblW w:w="0" w:type="auto"/>
              <w:tblInd w:w="1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4_Practices"/>
            </w:tblPr>
            <w:tblGrid>
              <w:gridCol w:w="3577"/>
            </w:tblGrid>
            <w:tr w:rsidR="00B67200" w:rsidTr="00B67200">
              <w:tc>
                <w:tcPr>
                  <w:tcW w:w="3577" w:type="dxa"/>
                </w:tcPr>
                <w:p w:rsidR="00B67200" w:rsidRPr="00B67200" w:rsidRDefault="00B67200">
                  <w:pPr>
                    <w:rPr>
                      <w:sz w:val="44"/>
                      <w:szCs w:val="44"/>
                    </w:rPr>
                  </w:pPr>
                  <w:r>
                    <w:rPr>
                      <w:lang w:val="en-US"/>
                      <w:rFonts w:ascii="Calibri" w:hAnsi="Calibri" w:cs="Calibri"/>
                      <w:u w:val="none"/>
                      <w:sz w:val="40"/>
                      <w:szCs w:val="40"/>
                      <w:color w:val="58A618"/>
                    </w:rPr>
                    <w:t>Practices</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5_PracticesList"/>
            </w:tblPr>
            <w:tblGrid>
              <w:gridCol w:w="3684"/>
            </w:tblGrid>
            <w:tr>
              <w:tc>
                <w:tcPr>
                  <w:tcW w:w="3686.4" w:type="dxa"/>
                </w:tcPr>
                <w:p>
                  <w:pPr>
                    <w:spacing w:after="220"/>
                  </w:pPr>
                  <w:hyperlink r:id="R635c7f8ed3f34ddf" w:history="1">
                    <w:r>
                      <w:rPr>
                        <w:rStyle w:val="Hyperlink"/>
                        <w:rFonts w:ascii="Georgia" w:hAnsi="Georgia" w:cs="Georgia"/>
                        <w:sz w:val="24"/>
                        <w:szCs w:val="24"/>
                      </w:rPr>
                      <w:t>Intellectual Property</w:t>
                    </w:r>
                  </w:hyperlink>
                </w:p>
              </w:tc>
            </w:tr>
            <w:tr>
              <w:tc>
                <w:tcPr>
                  <w:tcW w:w="3686.4" w:type="dxa"/>
                </w:tcPr>
                <w:p>
                  <w:pPr>
                    <w:spacing w:after="220"/>
                  </w:pPr>
                  <w:hyperlink r:id="R6bbe6c4e87a84aa0" w:history="1">
                    <w:r>
                      <w:rPr>
                        <w:rStyle w:val="Hyperlink"/>
                        <w:rFonts w:ascii="Georgia" w:hAnsi="Georgia" w:cs="Georgia"/>
                        <w:sz w:val="24"/>
                        <w:szCs w:val="24"/>
                      </w:rPr>
                      <w:t>Patents</w:t>
                    </w:r>
                  </w:hyperlink>
                </w:p>
              </w:tc>
            </w:tr>
            <w:tr>
              <w:tc>
                <w:tcPr>
                  <w:tcW w:w="3686.4" w:type="dxa"/>
                </w:tcPr>
                <w:p>
                  <w:pPr>
                    <w:spacing w:after="220"/>
                  </w:pPr>
                  <w:hyperlink r:id="R29c3e17049b34e8c" w:history="1">
                    <w:r>
                      <w:rPr>
                        <w:rStyle w:val="Hyperlink"/>
                        <w:rFonts w:ascii="Georgia" w:hAnsi="Georgia" w:cs="Georgia"/>
                        <w:sz w:val="24"/>
                        <w:szCs w:val="24"/>
                      </w:rPr>
                      <w:t>IP Litigation</w:t>
                    </w:r>
                  </w:hyperlink>
                </w:p>
              </w:tc>
            </w:tr>
            <w:tr>
              <w:tc>
                <w:tcPr>
                  <w:tcW w:w="3686.4" w:type="dxa"/>
                </w:tcPr>
                <w:p>
                  <w:pPr>
                    <w:spacing w:after="220"/>
                  </w:pPr>
                  <w:hyperlink r:id="R90ec0e2ee5304bd9" w:history="1">
                    <w:r>
                      <w:rPr>
                        <w:rStyle w:val="Hyperlink"/>
                        <w:rFonts w:ascii="Georgia" w:hAnsi="Georgia" w:cs="Georgia"/>
                        <w:sz w:val="24"/>
                        <w:szCs w:val="24"/>
                      </w:rPr>
                      <w:t>IP Counseling &amp; Strategic Portfolio Management</w:t>
                    </w:r>
                  </w:hyperlink>
                </w:p>
              </w:tc>
            </w:tr>
          </w:tbl>
          <w:p w:rsidR="004A1494" w:rsidRPr="00F20A7A" w:rsidRDefault="004A1494">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6_border3"/>
            </w:tblPr>
            <w:tblGrid>
              <w:gridCol w:w="3686"/>
            </w:tblGrid>
            <w:tr w:rsidR="00D66ED7" w:rsidTr="00FE240B">
              <w:trPr>
                <w:trHeight w:val="158"/>
              </w:trPr>
              <w:tc>
                <w:tcPr>
                  <w:tcW w:w="3684" w:type="dxa"/>
                </w:tcPr>
                <w:p w:rsidR="00D66ED7" w:rsidRPr="003D3503" w:rsidRDefault="008967D7">
                  <w:pPr>
                    <w:rPr>
                      <w:sz w:val="16"/>
                      <w:szCs w:val="16"/>
                    </w:rPr>
                  </w:pPr>
                  <w:r w:rsidRPr="003D3503">
                    <w:rPr>
                      <w:noProof/>
                      <w:color w:val="E7E6E6" w:themeColor="background2"/>
                      <w:sz w:val="16"/>
                      <w:szCs w:val="16"/>
                    </w:rPr>
                    <mc:AlternateContent>
                      <mc:Choice Requires="wps">
                        <w:drawing>
                          <wp:anchor distT="0" distB="0" distL="114300" distR="114300" simplePos="0" relativeHeight="251673600" behindDoc="0" locked="0" layoutInCell="1" allowOverlap="1" wp14:anchorId="67BFDA33" wp14:editId="4622D3E2">
                            <wp:simplePos x="0" y="0"/>
                            <wp:positionH relativeFrom="column">
                              <wp:posOffset>6349</wp:posOffset>
                            </wp:positionH>
                            <wp:positionV relativeFrom="paragraph">
                              <wp:posOffset>69851</wp:posOffset>
                            </wp:positionV>
                            <wp:extent cx="2219325"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C5E1E68" id="Straight Connector 9"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5.5pt" to="175.2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" strokecolor="#ccc" strokeweight="1.5pt">
                            <v:stroke joinstyle="miter"/>
                          </v:line>
                        </w:pict>
                      </mc:Fallback>
                    </mc:AlternateContent>
                  </w:r>
                </w:p>
              </w:tc>
            </w:tr>
          </w:tbl>
          <w:p w:rsidR="00D66ED7" w:rsidRPr="00F20A7A" w:rsidRDefault="00D66ED7">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7_Industries"/>
            </w:tblPr>
            <w:tblGrid>
              <w:gridCol w:w="3684"/>
            </w:tblGrid>
            <w:tr w:rsidR="004A1494" w:rsidTr="00FF36A3">
              <w:tc>
                <w:tcPr>
                  <w:tcW w:w="3684" w:type="dxa"/>
                </w:tcPr>
                <w:p w:rsidR="004A1494" w:rsidRPr="00F90870" w:rsidRDefault="004A1494">
                  <w:pPr>
                    <w:rPr>
                      <w:sz w:val="44"/>
                      <w:szCs w:val="44"/>
                    </w:rPr>
                  </w:pPr>
                  <w:r>
                    <w:rPr>
                      <w:lang w:val="en-US"/>
                      <w:rFonts w:ascii="Calibri" w:hAnsi="Calibri" w:cs="Calibri"/>
                      <w:u w:val="none"/>
                      <w:sz w:val="40"/>
                      <w:szCs w:val="40"/>
                      <w:color w:val="58A618"/>
                    </w:rPr>
                    <w:t>Industries</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8_IndustriesList"/>
            </w:tblPr>
            <w:tblGrid>
              <w:gridCol w:w="3684"/>
            </w:tblGrid>
            <w:tr>
              <w:tc>
                <w:tcPr>
                  <w:tcW w:w="3686.4" w:type="dxa"/>
                </w:tcPr>
                <w:p>
                  <w:pPr>
                    <w:spacing w:after="220"/>
                  </w:pPr>
                  <w:hyperlink r:id="Rf50af5bc799f449c" w:history="1">
                    <w:r>
                      <w:rPr>
                        <w:rStyle w:val="Hyperlink"/>
                        <w:rFonts w:ascii="Georgia" w:hAnsi="Georgia" w:cs="Georgia"/>
                        <w:sz w:val="24"/>
                        <w:szCs w:val="24"/>
                      </w:rPr>
                      <w:t>Life Sciences and Health Care</w:t>
                    </w:r>
                  </w:hyperlink>
                </w:p>
              </w:tc>
            </w:tr>
          </w:tbl>
          <w:p w:rsidR="000B7E44" w:rsidRDefault="000B7E44">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9_border4"/>
            </w:tblPr>
            <w:tblGrid>
              <w:gridCol w:w="3684"/>
            </w:tblGrid>
            <w:tr w:rsidR="00E30A23" w:rsidTr="00FE240B">
              <w:trPr>
                <w:trHeight w:val="158"/>
              </w:trPr>
              <w:tc>
                <w:tcPr>
                  <w:tcW w:w="3684" w:type="dxa"/>
                </w:tcPr>
                <w:p w:rsidR="00E30A23" w:rsidRPr="003D3503" w:rsidRDefault="0060354B">
                  <w:pPr>
                    <w:rPr>
                      <w:sz w:val="16"/>
                      <w:szCs w:val="16"/>
                    </w:rPr>
                  </w:pPr>
                  <w:r w:rsidRPr="003D3503">
                    <w:rPr>
                      <w:noProof/>
                      <w:color w:val="E7E6E6" w:themeColor="background2"/>
                      <w:sz w:val="16"/>
                      <w:szCs w:val="16"/>
                    </w:rPr>
                    <mc:AlternateContent>
                      <mc:Choice Requires="wps">
                        <w:drawing>
                          <wp:anchor distT="0" distB="0" distL="114300" distR="114300" simplePos="0" relativeHeight="251698176" behindDoc="0" locked="0" layoutInCell="1" allowOverlap="1">
                            <wp:simplePos x="0" y="0"/>
                            <wp:positionH relativeFrom="column">
                              <wp:posOffset>-3175</wp:posOffset>
                            </wp:positionH>
                            <wp:positionV relativeFrom="paragraph">
                              <wp:posOffset>58420</wp:posOffset>
                            </wp:positionV>
                            <wp:extent cx="21907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21907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F9D8BB" id="Straight Connector 5"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4.6pt" to="172.2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" strokecolor="#ccc" strokeweight="1.5pt">
                            <v:stroke joinstyle="miter"/>
                          </v:line>
                        </w:pict>
                      </mc:Fallback>
                    </mc:AlternateContent>
                  </w:r>
                </w:p>
              </w:tc>
            </w:tr>
          </w:tbl>
          <w:p w:rsidR="00E30A23" w:rsidRPr="00F20A7A" w:rsidRDefault="00E30A23">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0_Areas of Focus"/>
            </w:tblPr>
            <w:tblGrid>
              <w:gridCol w:w="3684"/>
            </w:tblGrid>
            <w:tr w:rsidR="004A1494" w:rsidTr="00FF36A3">
              <w:tc>
                <w:tcPr>
                  <w:tcW w:w="3684" w:type="dxa"/>
                </w:tcPr>
                <w:p w:rsidR="004A1494" w:rsidRPr="00F90870" w:rsidRDefault="004A1494">
                  <w:pPr>
                    <w:rPr>
                      <w:sz w:val="44"/>
                      <w:szCs w:val="44"/>
                    </w:rPr>
                  </w:pPr>
                  <w:r>
                    <w:rPr>
                      <w:lang w:val="en-US"/>
                      <w:rFonts w:ascii="Calibri" w:hAnsi="Calibri" w:cs="Calibri"/>
                      <w:u w:val="none"/>
                      <w:sz w:val="40"/>
                      <w:szCs w:val="40"/>
                      <w:color w:val="58A618"/>
                    </w:rPr>
                    <w:t>Areas of focus</w:t>
                  </w:r>
                </w:p>
              </w:tc>
            </w:tr>
          </w:tbl>
          <w:p w:rsidR="004A1494" w:rsidRPr="00F20A7A" w:rsidRDefault="004A1494">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1_AreaofFocusList"/>
            </w:tblPr>
            <w:tblGrid>
              <w:gridCol w:w="3684"/>
            </w:tblGrid>
            <w:tr>
              <w:tc>
                <w:tcPr>
                  <w:tcW w:w="3686.4" w:type="dxa"/>
                </w:tcPr>
                <w:p>
                  <w:pPr>
                    <w:spacing w:after="220"/>
                  </w:pPr>
                  <w:hyperlink r:id="Rabff2f91a7524f48" w:history="1">
                    <w:r>
                      <w:rPr>
                        <w:rStyle w:val="Hyperlink"/>
                        <w:rFonts w:ascii="Georgia" w:hAnsi="Georgia" w:cs="Georgia"/>
                        <w:sz w:val="24"/>
                        <w:szCs w:val="24"/>
                      </w:rPr>
                      <w:t>AI and Digital Health</w:t>
                    </w:r>
                  </w:hyperlink>
                </w:p>
              </w:tc>
            </w:tr>
            <w:tr>
              <w:tc>
                <w:tcPr>
                  <w:tcW w:w="3686.4" w:type="dxa"/>
                </w:tcPr>
                <w:p>
                  <w:pPr>
                    <w:spacing w:after="220"/>
                  </w:pPr>
                  <w:hyperlink r:id="R859c1f1137f749f2" w:history="1">
                    <w:r>
                      <w:rPr>
                        <w:rStyle w:val="Hyperlink"/>
                        <w:rFonts w:ascii="Georgia" w:hAnsi="Georgia" w:cs="Georgia"/>
                        <w:sz w:val="24"/>
                        <w:szCs w:val="24"/>
                      </w:rPr>
                      <w:t>Hogan Lovells China Desk</w:t>
                    </w:r>
                  </w:hyperlink>
                </w:p>
              </w:tc>
            </w:tr>
            <w:tr>
              <w:tc>
                <w:tcPr>
                  <w:tcW w:w="3686.4" w:type="dxa"/>
                </w:tcPr>
                <w:p>
                  <w:pPr>
                    <w:spacing w:after="220"/>
                  </w:pPr>
                  <w:hyperlink r:id="Rd0070f92e0c24329" w:history="1">
                    <w:r>
                      <w:rPr>
                        <w:rStyle w:val="Hyperlink"/>
                        <w:rFonts w:ascii="Georgia" w:hAnsi="Georgia" w:cs="Georgia"/>
                        <w:sz w:val="24"/>
                        <w:szCs w:val="24"/>
                      </w:rPr>
                      <w:t>Cell, Tissue, and Gene Therapies</w:t>
                    </w:r>
                  </w:hyperlink>
                </w:p>
              </w:tc>
            </w:tr>
          </w:tbl>
          <w:p w:rsidR="00D66ED7" w:rsidRDefault="00D66ED7">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2_border5"/>
            </w:tblPr>
            <w:tblGrid>
              <w:gridCol w:w="3684"/>
            </w:tblGrid>
            <w:tr w:rsidR="0060354B" w:rsidTr="00FE240B">
              <w:trPr>
                <w:trHeight w:val="158"/>
              </w:trPr>
              <w:tc>
                <w:tcPr>
                  <w:tcW w:w="3684" w:type="dxa"/>
                </w:tcPr>
                <w:p w:rsidR="0060354B" w:rsidRDefault="0060354B">
                  <w:pPr>
                    <w:rPr>
                      <w:sz w:val="4"/>
                      <w:szCs w:val="4"/>
                    </w:rPr>
                  </w:pPr>
                  <w:r w:rsidRPr="009D25A3">
                    <w:rPr>
                      <w:noProof/>
                      <w:color w:val="E7E6E6" w:themeColor="background2"/>
                    </w:rPr>
                    <mc:AlternateContent>
                      <mc:Choice Requires="wps">
                        <w:drawing>
                          <wp:anchor distT="0" distB="0" distL="114300" distR="114300" simplePos="0" relativeHeight="251691008" behindDoc="0" locked="0" layoutInCell="1" allowOverlap="1" wp14:anchorId="2F6A9D8C" wp14:editId="282AE259">
                            <wp:simplePos x="0" y="0"/>
                            <wp:positionH relativeFrom="column">
                              <wp:posOffset>-3174</wp:posOffset>
                            </wp:positionH>
                            <wp:positionV relativeFrom="paragraph">
                              <wp:posOffset>50800</wp:posOffset>
                            </wp:positionV>
                            <wp:extent cx="2209800" cy="0"/>
                            <wp:effectExtent l="0" t="0" r="19050" b="19050"/>
                            <wp:wrapNone/>
                            <wp:docPr id="7" name="Straight Connector 7"/>
                            <wp:cNvGraphicFramePr/>
                            <a:graphic xmlns:a="http://schemas.openxmlformats.org/drawingml/2006/main">
                              <a:graphicData uri="http://schemas.microsoft.com/office/word/2010/wordprocessingShape">
                                <wps:wsp>
                                  <wps:cNvCnPr/>
                                  <wps:spPr>
                                    <a:xfrm flipV="1">
                                      <a:off x="0" y="0"/>
                                      <a:ext cx="220980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32D387B" id="Straight Connector 7" o:spid="_x0000_s1026" style="position:absolute;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4pt" to="173.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" strokecolor="#ccc" strokeweight="1.5pt">
                            <v:stroke joinstyle="miter"/>
                          </v:line>
                        </w:pict>
                      </mc:Fallback>
                    </mc:AlternateContent>
                  </w:r>
                </w:p>
              </w:tc>
            </w:tr>
          </w:tbl>
          <w:p w:rsidR="0060354B" w:rsidRPr="00F20A7A" w:rsidRDefault="0060354B">
            <w:pPr>
              <w:rPr>
                <w:sz w:val="4"/>
                <w:szCs w:val="4"/>
              </w:rPr>
            </w:pPr>
          </w:p>
          <w:tbl>
            <w:tblPr>
              <w:tblStyle w:val="TableGrid"/>
              <w:tblW w:w="0" w:type="auto"/>
              <w:tblInd w:w="170" w:type="dxa"/>
              <w:tblLayout w:type="fixed"/>
              <w:tblLook w:val="04A0" w:firstRow="1" w:lastRow="0" w:firstColumn="1" w:lastColumn="0" w:noHBand="0" w:noVBand="1"/>
              <w:tblCaption w:val="index_33_Education and admissions"/>
            </w:tblPr>
            <w:tblGrid>
              <w:gridCol w:w="3684"/>
            </w:tblGrid>
            <w:tr w:rsidR="004A1494" w:rsidTr="000F40F9">
              <w:tc>
                <w:tcPr>
                  <w:tcW w:w="3684" w:type="dxa"/>
                  <w:tcBorders>
                    <w:top w:val="nil"/>
                    <w:left w:val="nil"/>
                    <w:bottom w:val="nil"/>
                    <w:right w:val="nil"/>
                  </w:tcBorders>
                </w:tcPr>
                <w:p w:rsidR="004A1494" w:rsidRPr="00F90870" w:rsidRDefault="004A1494">
                  <w:pPr>
                    <w:rPr>
                      <w:sz w:val="44"/>
                      <w:szCs w:val="44"/>
                    </w:rPr>
                  </w:pPr>
                  <w:r>
                    <w:rPr>
                      <w:lang w:val="en-US"/>
                      <w:rFonts w:ascii="Calibri" w:hAnsi="Calibri" w:cs="Calibri"/>
                      <w:u w:val="none"/>
                      <w:sz w:val="40"/>
                      <w:szCs w:val="40"/>
                      <w:color w:val="58A618"/>
                    </w:rPr>
                    <w:t>Education and admissions</w:t>
                  </w:r>
                </w:p>
              </w:tc>
            </w:tr>
          </w:tbl>
          <w:p w:rsidR="004A1494" w:rsidRPr="000F40F9" w:rsidRDefault="004A1494">
            <w:pPr>
              <w:rPr>
                <w:sz w:val="10"/>
                <w:szCs w:val="10"/>
              </w:rPr>
            </w:pPr>
          </w:p>
          <w:tbl>
            <w:tblPr>
              <w:tblStyle w:val="TableGrid"/>
              <w:tblW w:w="0" w:type="auto"/>
              <w:tblInd w:w="170" w:type="dxa"/>
              <w:tblLayout w:type="fixed"/>
              <w:tblLook w:val="04A0" w:firstRow="1" w:lastRow="0" w:firstColumn="1" w:lastColumn="0" w:noHBand="0" w:noVBand="1"/>
              <w:tblCaption w:val="index_34_Education"/>
            </w:tblPr>
            <w:tblGrid>
              <w:gridCol w:w="3684"/>
            </w:tblGrid>
            <w:tr w:rsidR="004A1494" w:rsidTr="000F40F9">
              <w:tc>
                <w:tcPr>
                  <w:tcW w:w="3684" w:type="dxa"/>
                  <w:tcBorders>
                    <w:top w:val="nil"/>
                    <w:left w:val="nil"/>
                    <w:bottom w:val="nil"/>
                    <w:right w:val="nil"/>
                  </w:tcBorders>
                </w:tcPr>
                <w:p w:rsidR="004A1494" w:rsidRPr="00F90870" w:rsidRDefault="004A1494">
                  <w:pPr>
                    <w:rPr>
                      <w:sz w:val="44"/>
                      <w:szCs w:val="44"/>
                    </w:rPr>
                  </w:pPr>
                  <w:r>
                    <w:rPr>
                      <w:lang w:val="en-US"/>
                      <w:rFonts w:ascii="Calibri" w:hAnsi="Calibri" w:cs="Calibri"/>
                      <w:u w:val="none"/>
                      <w:sz w:val="40"/>
                      <w:szCs w:val="40"/>
                      <w:color w:val="58A618"/>
                    </w:rPr>
                    <w:t>Education</w:t>
                  </w:r>
                </w:p>
              </w:tc>
            </w:tr>
          </w:tbl>
          <w:p w:rsidR="00844541" w:rsidRPr="00F70CE0" w:rsidRDefault="00844541">
            <w:pPr>
              <w:rPr>
                <w:sz w:val="2"/>
                <w:szCs w:val="2"/>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5_EducationList"/>
            </w:tblPr>
            <w:tblGrid>
              <w:gridCol w:w="3684"/>
            </w:tblGrid>
            <w:tr>
              <w:tc>
                <w:tcPr>
                  <w:tcW w:w="3686.4" w:type="dxa"/>
                </w:tcPr>
                <w:p>
                  <w:pPr>
                    <w:spacing w:after="220"/>
                  </w:pPr>
                  <w:r>
                    <w:rPr>
                      <w:lang w:val="en-US"/>
                      <w:rFonts w:ascii="Georgia" w:hAnsi="Georgia" w:cs="Georgia"/>
                      <w:u w:val="none"/>
                      <w:sz w:val="24"/>
                      <w:szCs w:val="24"/>
                      <w:color w:val="000000"/>
                    </w:rPr>
                    <w:t>Dr. iur., Regional Court of Freiburg, 1997</w:t>
                  </w:r>
                </w:p>
              </w:tc>
            </w:tr>
            <w:tr>
              <w:tc>
                <w:tcPr>
                  <w:tcW w:w="3686.4" w:type="dxa"/>
                </w:tcPr>
                <w:p>
                  <w:pPr>
                    <w:spacing w:after="220"/>
                  </w:pPr>
                  <w:r>
                    <w:rPr>
                      <w:lang w:val="en-US"/>
                      <w:rFonts w:ascii="Georgia" w:hAnsi="Georgia" w:cs="Georgia"/>
                      <w:u w:val="none"/>
                      <w:sz w:val="24"/>
                      <w:szCs w:val="24"/>
                      <w:color w:val="000000"/>
                    </w:rPr>
                    <w:t>University of Geneva</w:t>
                  </w:r>
                </w:p>
              </w:tc>
            </w:tr>
            <w:tr>
              <w:tc>
                <w:tcPr>
                  <w:tcW w:w="3686.4" w:type="dxa"/>
                </w:tcPr>
                <w:p>
                  <w:pPr>
                    <w:spacing w:after="220"/>
                  </w:pPr>
                  <w:r>
                    <w:rPr>
                      <w:lang w:val="en-US"/>
                      <w:rFonts w:ascii="Georgia" w:hAnsi="Georgia" w:cs="Georgia"/>
                      <w:u w:val="none"/>
                      <w:sz w:val="24"/>
                      <w:szCs w:val="24"/>
                      <w:color w:val="000000"/>
                    </w:rPr>
                    <w:t>University of Tuebingen</w:t>
                  </w:r>
                </w:p>
              </w:tc>
            </w:tr>
          </w:tbl>
          <w:p w:rsidR="004A1494" w:rsidRPr="00F20A7A" w:rsidRDefault="004A1494">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6_border6"/>
            </w:tblPr>
            <w:tblGrid>
              <w:gridCol w:w="3686"/>
            </w:tblGrid>
            <w:tr w:rsidR="00844541" w:rsidTr="00FE240B">
              <w:trPr>
                <w:trHeight w:val="170"/>
              </w:trPr>
              <w:tc>
                <w:tcPr>
                  <w:tcW w:w="3684" w:type="dxa"/>
                </w:tcPr>
                <w:p w:rsidR="00844541" w:rsidRPr="003D3503" w:rsidRDefault="00672193" w:rsidP="00FE240B">
                  <w:pPr>
                    <w:jc w:val="center"/>
                    <w:rPr>
                      <w:sz w:val="16"/>
                      <w:szCs w:val="16"/>
                    </w:rPr>
                  </w:pPr>
                  <w:r w:rsidRPr="003D3503">
                    <w:rPr>
                      <w:noProof/>
                      <w:color w:val="E7E6E6" w:themeColor="background2"/>
                      <w:sz w:val="16"/>
                      <w:szCs w:val="16"/>
                    </w:rPr>
                    <mc:AlternateContent>
                      <mc:Choice Requires="wps">
                        <w:drawing>
                          <wp:anchor distT="0" distB="0" distL="114300" distR="114300" simplePos="0" relativeHeight="251667456" behindDoc="0" locked="0" layoutInCell="1" allowOverlap="1" wp14:anchorId="103A25AF" wp14:editId="21C46AA4">
                            <wp:simplePos x="0" y="0"/>
                            <wp:positionH relativeFrom="column">
                              <wp:posOffset>-12700</wp:posOffset>
                            </wp:positionH>
                            <wp:positionV relativeFrom="paragraph">
                              <wp:posOffset>41275</wp:posOffset>
                            </wp:positionV>
                            <wp:extent cx="2228850" cy="0"/>
                            <wp:effectExtent l="0" t="0" r="19050" b="19050"/>
                            <wp:wrapNone/>
                            <wp:docPr id="6" name="Straight Connector 6"/>
                            <wp:cNvGraphicFramePr/>
                            <a:graphic xmlns:a="http://schemas.openxmlformats.org/drawingml/2006/main">
                              <a:graphicData uri="http://schemas.microsoft.com/office/word/2010/wordprocessingShape">
                                <wps:wsp>
                                  <wps:cNvCnPr/>
                                  <wps:spPr>
                                    <a:xfrm flipV="1">
                                      <a:off x="0" y="0"/>
                                      <a:ext cx="22288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7D3DBD" id="Straight Connector 6"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3.25pt" to="174.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" strokecolor="#ccc" strokeweight="1.5pt">
                            <v:stroke joinstyle="miter"/>
                          </v:line>
                        </w:pict>
                      </mc:Fallback>
                    </mc:AlternateContent>
                  </w:r>
                </w:p>
              </w:tc>
            </w:tr>
          </w:tbl>
          <w:p w:rsidR="00844541" w:rsidRPr="00F20A7A" w:rsidRDefault="00844541">
            <w:pPr>
              <w:rPr>
                <w:sz w:val="4"/>
                <w:szCs w:val="4"/>
              </w:rPr>
            </w:pPr>
          </w:p>
          <w:p w:rsidR="004A1494" w:rsidRPr="00F20A7A" w:rsidRDefault="004A1494">
            <w:pPr>
              <w:rPr>
                <w:sz w:val="4"/>
                <w:szCs w:val="4"/>
              </w:rPr>
            </w:pPr>
          </w:p>
          <w:p w:rsidR="00BF719B" w:rsidRDefault="00BF719B">
            <w:pPr>
              <w:rPr>
                <w:sz w:val="2"/>
                <w:szCs w:val="2"/>
              </w:rPr>
            </w:pPr>
          </w:p>
          <w:p w:rsidR="00BF719B" w:rsidRDefault="00BF719B">
            <w:pPr>
              <w:rPr>
                <w:sz w:val="2"/>
                <w:szCs w:val="2"/>
              </w:rPr>
            </w:pPr>
          </w:p>
          <w:p w:rsidR="00BF719B" w:rsidRDefault="00BF719B">
            <w:pPr>
              <w:rPr>
                <w:sz w:val="2"/>
                <w:szCs w:val="2"/>
              </w:rPr>
            </w:pPr>
          </w:p>
          <w:p w:rsidR="00BF719B" w:rsidRDefault="00BF719B">
            <w:pPr>
              <w:rPr>
                <w:sz w:val="2"/>
                <w:szCs w:val="2"/>
              </w:rPr>
            </w:pPr>
          </w:p>
          <w:p w:rsidR="0079721B" w:rsidRDefault="0079721B">
            <w:pPr>
              <w:rPr>
                <w:sz w:val="4"/>
                <w:szCs w:val="4"/>
              </w:rPr>
            </w:pPr>
          </w:p>
          <w:p w:rsidR="0079721B" w:rsidRDefault="0079721B">
            <w:pPr>
              <w:rPr>
                <w:sz w:val="4"/>
                <w:szCs w:val="4"/>
              </w:rPr>
            </w:pPr>
          </w:p>
          <w:p w:rsidR="001A7332" w:rsidRPr="001A7332" w:rsidRDefault="001A7332">
            <w:pPr>
              <w:rPr>
                <w:sz w:val="2"/>
                <w:szCs w:val="2"/>
              </w:rPr>
            </w:pPr>
          </w:p>
          <w:p w:rsidR="004A1494" w:rsidRPr="001A7332" w:rsidRDefault="0079721B">
            <w:pPr>
              <w:rPr>
                <w:sz w:val="4"/>
                <w:szCs w:val="4"/>
              </w:rPr>
            </w:pPr>
            <w:r>
              <w:rPr>
                <w:sz w:val="4"/>
                <w:szCs w:val="4"/>
              </w:rPr>
              <w:t xml:space="preserve">            </w:t>
            </w:r>
            <w:r w:rsidR="001A7332">
              <w:rPr>
                <w:sz w:val="4"/>
                <w:szCs w:val="4"/>
              </w:rPr>
              <w:t xml:space="preserve">                             </w:t>
            </w:r>
          </w:p>
          <w:p w:rsidR="00844541" w:rsidRPr="001A7332" w:rsidRDefault="00844541">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3_Court admissions"/>
            </w:tblPr>
            <w:tblGrid>
              <w:gridCol w:w="3684"/>
            </w:tblGrid>
            <w:tr w:rsidR="0079721B" w:rsidTr="003A43D4">
              <w:trPr>
                <w:trHeight w:val="413"/>
              </w:trPr>
              <w:tc>
                <w:tcPr>
                  <w:tcW w:w="3684" w:type="dxa"/>
                </w:tcPr>
                <w:p w:rsidR="0079721B" w:rsidRPr="00F90870" w:rsidRDefault="0079721B" w:rsidP="0079721B">
                  <w:pPr>
                    <w:rPr>
                      <w:sz w:val="44"/>
                      <w:szCs w:val="44"/>
                    </w:rPr>
                  </w:pPr>
                  <w:r>
                    <w:rPr>
                      <w:lang w:val="en-US"/>
                      <w:rFonts w:ascii="Calibri" w:hAnsi="Calibri" w:cs="Calibri"/>
                      <w:u w:val="none"/>
                      <w:sz w:val="40"/>
                      <w:szCs w:val="40"/>
                      <w:color w:val="58A618"/>
                    </w:rPr>
                    <w:t>Court admissions</w:t>
                  </w:r>
                </w:p>
              </w:tc>
            </w:tr>
          </w:tbl>
          <w:p w:rsidR="004A1494" w:rsidRPr="001A7332" w:rsidRDefault="004A1494">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4_CourtadmissionsList"/>
            </w:tblPr>
            <w:tblGrid>
              <w:gridCol w:w="3684"/>
            </w:tblGrid>
            <w:tr>
              <w:tc>
                <w:tcPr>
                  <w:tcW w:w="3686.4" w:type="dxa"/>
                </w:tcPr>
                <w:p>
                  <w:pPr>
                    <w:spacing w:after="220"/>
                  </w:pPr>
                  <w:r>
                    <w:rPr>
                      <w:lang w:val="en-US"/>
                      <w:rFonts w:ascii="Georgia" w:hAnsi="Georgia" w:cs="Georgia"/>
                      <w:u w:val="none"/>
                      <w:sz w:val="24"/>
                      <w:szCs w:val="24"/>
                      <w:color w:val="000000"/>
                    </w:rPr>
                    <w:t>Unified Patent Court</w:t>
                  </w:r>
                </w:p>
              </w:tc>
            </w:tr>
            <w:tr>
              <w:tc>
                <w:tcPr>
                  <w:tcW w:w="3686.4" w:type="dxa"/>
                </w:tcPr>
                <w:p>
                  <w:pPr>
                    <w:spacing w:after="220"/>
                  </w:pPr>
                  <w:r>
                    <w:rPr>
                      <w:lang w:val="en-US"/>
                      <w:rFonts w:ascii="Georgia" w:hAnsi="Georgia" w:cs="Georgia"/>
                      <w:u w:val="none"/>
                      <w:sz w:val="24"/>
                      <w:szCs w:val="24"/>
                      <w:color w:val="000000"/>
                    </w:rPr>
                    <w:t>Germany</w:t>
                  </w:r>
                </w:p>
              </w:tc>
            </w:tr>
          </w:tbl>
          <w:p w:rsidR="00BF719B" w:rsidRDefault="00BF719B">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5_border9"/>
            </w:tblPr>
            <w:tblGrid>
              <w:gridCol w:w="3684"/>
            </w:tblGrid>
            <w:tr w:rsidR="00BF719B" w:rsidRPr="00B412BC" w:rsidTr="00FE240B">
              <w:trPr>
                <w:trHeight w:val="158"/>
              </w:trPr>
              <w:tc>
                <w:tcPr>
                  <w:tcW w:w="3684" w:type="dxa"/>
                </w:tcPr>
                <w:p w:rsidR="00BF719B" w:rsidRPr="00B412BC" w:rsidRDefault="00BF719B">
                  <w:pPr>
                    <w:rPr>
                      <w:sz w:val="16"/>
                      <w:szCs w:val="16"/>
                    </w:rPr>
                  </w:pPr>
                  <w:r w:rsidRPr="00B412BC">
                    <w:rPr>
                      <w:noProof/>
                      <w:color w:val="E7E6E6" w:themeColor="background2"/>
                      <w:sz w:val="16"/>
                      <w:szCs w:val="16"/>
                    </w:rPr>
                    <mc:AlternateContent>
                      <mc:Choice Requires="wps">
                        <w:drawing>
                          <wp:anchor distT="0" distB="0" distL="114300" distR="114300" simplePos="0" relativeHeight="251695104" behindDoc="0" locked="0" layoutInCell="1" allowOverlap="1" wp14:anchorId="122A7B53" wp14:editId="02C9E178">
                            <wp:simplePos x="0" y="0"/>
                            <wp:positionH relativeFrom="column">
                              <wp:posOffset>-12700</wp:posOffset>
                            </wp:positionH>
                            <wp:positionV relativeFrom="paragraph">
                              <wp:posOffset>77470</wp:posOffset>
                            </wp:positionV>
                            <wp:extent cx="2238375" cy="0"/>
                            <wp:effectExtent l="0" t="0" r="28575" b="19050"/>
                            <wp:wrapNone/>
                            <wp:docPr id="14" name="Straight Connector 14"/>
                            <wp:cNvGraphicFramePr/>
                            <a:graphic xmlns:a="http://schemas.openxmlformats.org/drawingml/2006/main">
                              <a:graphicData uri="http://schemas.microsoft.com/office/word/2010/wordprocessingShape">
                                <wps:wsp>
                                  <wps:cNvCnPr/>
                                  <wps:spPr>
                                    <a:xfrm>
                                      <a:off x="0" y="0"/>
                                      <a:ext cx="223837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78B2609" id="Straight Connector 14"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6.1pt" to="175.2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" strokecolor="#ccc" strokeweight="1.5pt">
                            <v:stroke joinstyle="miter"/>
                          </v:line>
                        </w:pict>
                      </mc:Fallback>
                    </mc:AlternateContent>
                  </w:r>
                </w:p>
              </w:tc>
            </w:tr>
          </w:tbl>
          <w:p w:rsidR="00BF719B" w:rsidRPr="001A7332" w:rsidRDefault="00BF719B">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6_Accolades"/>
            </w:tblPr>
            <w:tblGrid>
              <w:gridCol w:w="3684"/>
            </w:tblGrid>
            <w:tr w:rsidR="00D74D97" w:rsidTr="003A43D4">
              <w:trPr>
                <w:trHeight w:val="287"/>
              </w:trPr>
              <w:tc>
                <w:tcPr>
                  <w:tcW w:w="3684" w:type="dxa"/>
                </w:tcPr>
                <w:p w:rsidR="00D74D97" w:rsidRDefault="00D74D97">
                  <w:r>
                    <w:rPr>
                      <w:lang w:val="en-US"/>
                      <w:rFonts w:ascii="Calibri" w:hAnsi="Calibri" w:cs="Calibri"/>
                      <w:u w:val="none"/>
                      <w:sz w:val="40"/>
                      <w:szCs w:val="40"/>
                      <w:color w:val="58A618"/>
                    </w:rPr>
                    <w:t>Accolades</w:t>
                  </w:r>
                </w:p>
              </w:tc>
            </w:tr>
          </w:tbl>
          <w:p w:rsidR="001A7332" w:rsidRPr="001A7332" w:rsidRDefault="001A7332">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7_QuotesList"/>
            </w:tblPr>
            <w:tblGrid>
              <w:gridCol w:w="3686"/>
            </w:tblGrid>
            <w:tr>
              <w:tc>
                <w:tcPr>
                  <w:tcW w:w="3686.4" w:type="dxa"/>
                </w:tcPr>
                <w:p>
                  <w:pPr>
                    <w:spacing w:after="120"/>
                  </w:pPr>
                  <w:r>
                    <w:rPr>
                      <w:lang w:val="en-US"/>
                      <w:rFonts w:ascii="Georgia" w:hAnsi="Georgia" w:cs="Georgia"/>
                      <w:u w:val="none"/>
                      <w:sz w:val="24"/>
                      <w:szCs w:val="24"/>
                      <w:color w:val="000000"/>
                    </w:rPr>
                    <w:t>Clients say: He is an excellent litigator who has done a fantastic job for us. He remains one of the leading IP lawyers in Germany.</w:t>
                  </w:r>
                </w:p>
                <w:p>
                  <w:pPr>
                    <w:jc w:val="right"/>
                    <w:spacing w:after="300"/>
                  </w:pPr>
                  <w:r>
                    <w:rPr>
                      <w:lang w:val="en-US"/>
                      <w:u w:val="none"/>
                      <w:i/>
                      <w:rFonts w:ascii="Georgia" w:hAnsi="Georgia" w:cs="Georgia"/>
                      <w:sz w:val="24"/>
                      <w:szCs w:val="24"/>
                    </w:rPr>
                    <w:t>Chambers Global, 2016</w:t>
                  </w:r>
                </w:p>
              </w:tc>
            </w:tr>
            <w:tr>
              <w:tc>
                <w:tcPr>
                  <w:tcW w:w="3686.4" w:type="dxa"/>
                </w:tcPr>
                <w:p>
                  <w:pPr>
                    <w:spacing w:after="120"/>
                  </w:pPr>
                  <w:r>
                    <w:rPr>
                      <w:lang w:val="en-US"/>
                      <w:rFonts w:ascii="Georgia" w:hAnsi="Georgia" w:cs="Georgia"/>
                      <w:u w:val="none"/>
                      <w:sz w:val="24"/>
                      <w:szCs w:val="24"/>
                      <w:color w:val="000000"/>
                    </w:rPr>
                    <w:t>He is as brilliant as he always was. He has tremendous knowledge and experience, having been involved in huge cases, and is extremely well connected in the community. He’s a very likeable and approachable person too.”</w:t>
                  </w:r>
                </w:p>
                <w:p>
                  <w:pPr>
                    <w:jc w:val="right"/>
                    <w:spacing w:after="300"/>
                  </w:pPr>
                  <w:r>
                    <w:rPr>
                      <w:lang w:val="en-US"/>
                      <w:u w:val="none"/>
                      <w:i/>
                      <w:rFonts w:ascii="Georgia" w:hAnsi="Georgia" w:cs="Georgia"/>
                      <w:sz w:val="24"/>
                      <w:szCs w:val="24"/>
                    </w:rPr>
                    <w:t>IAM Patent 1000, 2018</w:t>
                  </w:r>
                </w:p>
              </w:tc>
            </w:tr>
            <w:tr>
              <w:tc>
                <w:tcPr>
                  <w:tcW w:w="3686.4" w:type="dxa"/>
                </w:tcPr>
                <w:p>
                  <w:pPr>
                    <w:spacing w:after="120"/>
                  </w:pPr>
                  <w:r>
                    <w:rPr>
                      <w:lang w:val="en-US"/>
                      <w:rFonts w:ascii="Georgia" w:hAnsi="Georgia" w:cs="Georgia"/>
                      <w:u w:val="none"/>
                      <w:sz w:val="24"/>
                      <w:szCs w:val="24"/>
                      <w:color w:val="000000"/>
                    </w:rPr>
                    <w:t>Hogan Lovells International LLP’s ‘first-class’ patent team shows ‘excellent quality’ and ‘promptness’, particularly in the coordination of complex cross-border disputes, most notably in the pharmaceuticals and telecoms sectors.</w:t>
                  </w:r>
                </w:p>
                <w:p>
                  <w:pPr>
                    <w:jc w:val="right"/>
                    <w:spacing w:after="300"/>
                  </w:pPr>
                  <w:r>
                    <w:rPr>
                      <w:lang w:val="en-US"/>
                      <w:u w:val="none"/>
                      <w:i/>
                      <w:rFonts w:ascii="Georgia" w:hAnsi="Georgia" w:cs="Georgia"/>
                      <w:sz w:val="24"/>
                      <w:szCs w:val="24"/>
                    </w:rPr>
                    <w:t>Legal 500, 2018</w:t>
                  </w:r>
                </w:p>
              </w:tc>
            </w:tr>
            <w:tr>
              <w:tc>
                <w:tcPr>
                  <w:tcW w:w="3686.4" w:type="dxa"/>
                </w:tcPr>
                <w:p>
                  <w:pPr>
                    <w:spacing w:after="120"/>
                  </w:pPr>
                  <w:r>
                    <w:rPr>
                      <w:lang w:val="en-US"/>
                      <w:rFonts w:ascii="Georgia" w:hAnsi="Georgia" w:cs="Georgia"/>
                      <w:u w:val="none"/>
                      <w:sz w:val="24"/>
                      <w:szCs w:val="24"/>
                      <w:color w:val="000000"/>
                    </w:rPr>
                    <w:t>The 'brilliant' Andreas von Falck receives highly positive reviews from clients for his 'analytical approach and availability.' He has a formidable reputation in patent litigation matters, particularly in the life sciences and TMT sectors.</w:t>
                  </w:r>
                </w:p>
                <w:p>
                  <w:pPr>
                    <w:jc w:val="right"/>
                    <w:spacing w:after="300"/>
                  </w:pPr>
                  <w:r>
                    <w:rPr>
                      <w:lang w:val="en-US"/>
                      <w:u w:val="none"/>
                      <w:i/>
                      <w:rFonts w:ascii="Georgia" w:hAnsi="Georgia" w:cs="Georgia"/>
                      <w:sz w:val="24"/>
                      <w:szCs w:val="24"/>
                    </w:rPr>
                    <w:t>Chambers, 2018</w:t>
                  </w:r>
                </w:p>
              </w:tc>
            </w:tr>
          </w:tbl>
          <w:p w:rsidR="00E50650" w:rsidRPr="00E50650" w:rsidRDefault="00E50650">
            <w:pPr>
              <w:rPr>
                <w:sz w:val="2"/>
                <w:szCs w:val="2"/>
              </w:rPr>
            </w:pPr>
          </w:p>
          <w:p w:rsidR="00E50650" w:rsidRPr="00B9110E" w:rsidRDefault="00E50650">
            <w:pPr>
              <w:rPr>
                <w:sz w:val="2"/>
                <w:szCs w:val="2"/>
              </w:rPr>
            </w:pPr>
          </w:p>
          <w:p w:rsidR="00E50650" w:rsidRPr="009D34CC" w:rsidRDefault="00E50650">
            <w:pPr>
              <w:rPr>
                <w:sz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8_border10"/>
            </w:tblPr>
            <w:tblGrid>
              <w:gridCol w:w="3686"/>
            </w:tblGrid>
            <w:tr w:rsidR="00181440" w:rsidTr="00FE240B">
              <w:trPr>
                <w:trHeight w:val="158"/>
              </w:trPr>
              <w:tc>
                <w:tcPr>
                  <w:tcW w:w="3686" w:type="dxa"/>
                </w:tcPr>
                <w:p w:rsidR="00181440" w:rsidRPr="00D932FF" w:rsidRDefault="00181440">
                  <w:pPr>
                    <w:rPr>
                      <w:sz w:val="16"/>
                      <w:szCs w:val="16"/>
                    </w:rPr>
                  </w:pPr>
                  <w:r w:rsidRPr="00D932FF">
                    <w:rPr>
                      <w:noProof/>
                      <w:color w:val="E7E6E6" w:themeColor="background2"/>
                      <w:sz w:val="16"/>
                      <w:szCs w:val="16"/>
                    </w:rPr>
                    <mc:AlternateContent>
                      <mc:Choice Requires="wps">
                        <w:drawing>
                          <wp:anchor distT="0" distB="0" distL="114300" distR="114300" simplePos="0" relativeHeight="251697152" behindDoc="0" locked="0" layoutInCell="1" allowOverlap="1" wp14:anchorId="06B872CB" wp14:editId="6D189D00">
                            <wp:simplePos x="0" y="0"/>
                            <wp:positionH relativeFrom="column">
                              <wp:posOffset>-12700</wp:posOffset>
                            </wp:positionH>
                            <wp:positionV relativeFrom="paragraph">
                              <wp:posOffset>29211</wp:posOffset>
                            </wp:positionV>
                            <wp:extent cx="22479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24790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62BAF56" id="Straight Connector 2"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2.3pt" to="176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" strokecolor="#ccc" strokeweight="1.5pt">
                            <v:stroke joinstyle="miter"/>
                          </v:line>
                        </w:pict>
                      </mc:Fallback>
                    </mc:AlternateContent>
                  </w:r>
                </w:p>
              </w:tc>
            </w:tr>
          </w:tbl>
          <w:p w:rsidR="00181440" w:rsidRDefault="00181440"/>
        </w:tc>
      </w:tr>
    </w:tbl>
    <w:p w:rsidR="00346825" w:rsidRDefault="00346825" w:rsidP="00262A00"/>
    <w:sectPr w:rsidR="00346825" w:rsidSect="00647B50">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embedRegular r:id="rId1" w:fontKey="{99D3FE78-3EC7-4FDD-ACDF-8077DDDBAFEF}"/>
    <w:embedBold r:id="rId2" w:fontKey="{1AEBAD1E-8477-4D02-A8CB-C60B593149A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75pt;height:6.75pt" o:bullet="t">
        <v:imagedata r:id="rId1" o:title="bulletSqr"/>
      </v:shape>
    </w:pict>
  </w:numPicBullet>
  <w:abstractNum w:abstractNumId="0">
    <w:nsid w:val="38C51E68"/>
    <w:multiLevelType w:val="hybridMultilevel"/>
    <w:tmpl w:val="795C24F4"/>
    <w:lvl w:ilvl="0" w:tplc="96A4B9A8">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694DAE"/>
    <w:multiLevelType w:val="hybridMultilevel"/>
    <w:tmpl w:val="B072B17E"/>
    <w:lvl w:ilvl="0" w:tplc="96A4B9A8">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6">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7">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8">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num>
  <w:num w:numId="2">
    <w:abstractNumId w:val="1"/>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 w:numId="17">
    <w:abstractNumId w:val="16"/>
    <w:lvlOverride w:ilvl="0">
      <w:startOverride w:val="1"/>
    </w:lvlOverride>
  </w:num>
  <w:num w:numId="18">
    <w:abstractNumId w:val="17"/>
    <w:lvlOverride w:ilvl="0">
      <w:startOverride w:val="1"/>
    </w:lvlOverride>
  </w:num>
  <w:num w:numId="19">
    <w:abstractNumId w:val="1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embedSystemFonts/>
  <w:saveSubset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155"/>
    <w:rsid w:val="00043D71"/>
    <w:rsid w:val="00086676"/>
    <w:rsid w:val="000A2301"/>
    <w:rsid w:val="000B7E44"/>
    <w:rsid w:val="000F40F9"/>
    <w:rsid w:val="00104DF8"/>
    <w:rsid w:val="00181440"/>
    <w:rsid w:val="0019690D"/>
    <w:rsid w:val="001A3264"/>
    <w:rsid w:val="001A7332"/>
    <w:rsid w:val="001C6E41"/>
    <w:rsid w:val="00203420"/>
    <w:rsid w:val="00222681"/>
    <w:rsid w:val="00232330"/>
    <w:rsid w:val="00262A00"/>
    <w:rsid w:val="002634EF"/>
    <w:rsid w:val="00270CBD"/>
    <w:rsid w:val="00286CAE"/>
    <w:rsid w:val="0033136F"/>
    <w:rsid w:val="00346825"/>
    <w:rsid w:val="00376D55"/>
    <w:rsid w:val="00396EE9"/>
    <w:rsid w:val="003A43D4"/>
    <w:rsid w:val="003C1354"/>
    <w:rsid w:val="003D3503"/>
    <w:rsid w:val="00404CF8"/>
    <w:rsid w:val="00423DCE"/>
    <w:rsid w:val="00431807"/>
    <w:rsid w:val="00436934"/>
    <w:rsid w:val="004442AC"/>
    <w:rsid w:val="00473DF3"/>
    <w:rsid w:val="00476EA3"/>
    <w:rsid w:val="0047702E"/>
    <w:rsid w:val="0048510A"/>
    <w:rsid w:val="0048514C"/>
    <w:rsid w:val="00495970"/>
    <w:rsid w:val="004A1494"/>
    <w:rsid w:val="004D0B41"/>
    <w:rsid w:val="004D1D63"/>
    <w:rsid w:val="004F5D1F"/>
    <w:rsid w:val="0053497B"/>
    <w:rsid w:val="005433FA"/>
    <w:rsid w:val="00564264"/>
    <w:rsid w:val="005807B6"/>
    <w:rsid w:val="00587360"/>
    <w:rsid w:val="005A1BA9"/>
    <w:rsid w:val="005A60D1"/>
    <w:rsid w:val="0060354B"/>
    <w:rsid w:val="00611079"/>
    <w:rsid w:val="006162AD"/>
    <w:rsid w:val="00616C0C"/>
    <w:rsid w:val="00623210"/>
    <w:rsid w:val="006254B8"/>
    <w:rsid w:val="0062660A"/>
    <w:rsid w:val="00640975"/>
    <w:rsid w:val="00647B50"/>
    <w:rsid w:val="00672193"/>
    <w:rsid w:val="00676F0E"/>
    <w:rsid w:val="006F2173"/>
    <w:rsid w:val="006F77A6"/>
    <w:rsid w:val="007007D0"/>
    <w:rsid w:val="007620E0"/>
    <w:rsid w:val="007701D2"/>
    <w:rsid w:val="007939F3"/>
    <w:rsid w:val="0079721B"/>
    <w:rsid w:val="00797A63"/>
    <w:rsid w:val="007B0F1C"/>
    <w:rsid w:val="007E754D"/>
    <w:rsid w:val="007F3AE2"/>
    <w:rsid w:val="007F54F5"/>
    <w:rsid w:val="0081713D"/>
    <w:rsid w:val="00817644"/>
    <w:rsid w:val="00830C26"/>
    <w:rsid w:val="00844541"/>
    <w:rsid w:val="0089261B"/>
    <w:rsid w:val="008967D7"/>
    <w:rsid w:val="008A4C31"/>
    <w:rsid w:val="008C54CB"/>
    <w:rsid w:val="008D45A3"/>
    <w:rsid w:val="008F5988"/>
    <w:rsid w:val="00902A92"/>
    <w:rsid w:val="0094151E"/>
    <w:rsid w:val="00966AB7"/>
    <w:rsid w:val="009B2F68"/>
    <w:rsid w:val="009C2F6D"/>
    <w:rsid w:val="009D25A3"/>
    <w:rsid w:val="009D34CC"/>
    <w:rsid w:val="009E0501"/>
    <w:rsid w:val="009E09CD"/>
    <w:rsid w:val="00A02E4F"/>
    <w:rsid w:val="00A408AD"/>
    <w:rsid w:val="00A521B6"/>
    <w:rsid w:val="00A64B8B"/>
    <w:rsid w:val="00AB18F6"/>
    <w:rsid w:val="00AC0D08"/>
    <w:rsid w:val="00AE560A"/>
    <w:rsid w:val="00AE7417"/>
    <w:rsid w:val="00B2145A"/>
    <w:rsid w:val="00B3305F"/>
    <w:rsid w:val="00B412BC"/>
    <w:rsid w:val="00B4431E"/>
    <w:rsid w:val="00B529CC"/>
    <w:rsid w:val="00B67200"/>
    <w:rsid w:val="00B72BF9"/>
    <w:rsid w:val="00B9110E"/>
    <w:rsid w:val="00B9477C"/>
    <w:rsid w:val="00BD7E38"/>
    <w:rsid w:val="00BE74FC"/>
    <w:rsid w:val="00BF719B"/>
    <w:rsid w:val="00C3219D"/>
    <w:rsid w:val="00C45C14"/>
    <w:rsid w:val="00CC7FD0"/>
    <w:rsid w:val="00D01155"/>
    <w:rsid w:val="00D36AC0"/>
    <w:rsid w:val="00D54D47"/>
    <w:rsid w:val="00D552F4"/>
    <w:rsid w:val="00D61010"/>
    <w:rsid w:val="00D66ED7"/>
    <w:rsid w:val="00D74D97"/>
    <w:rsid w:val="00D80BC3"/>
    <w:rsid w:val="00D932FF"/>
    <w:rsid w:val="00DB1C60"/>
    <w:rsid w:val="00DF0850"/>
    <w:rsid w:val="00E14FC9"/>
    <w:rsid w:val="00E21B50"/>
    <w:rsid w:val="00E2312E"/>
    <w:rsid w:val="00E30A23"/>
    <w:rsid w:val="00E50650"/>
    <w:rsid w:val="00E521F0"/>
    <w:rsid w:val="00E9451A"/>
    <w:rsid w:val="00F20A7A"/>
    <w:rsid w:val="00F70CE0"/>
    <w:rsid w:val="00F90870"/>
    <w:rsid w:val="00FA4F1F"/>
    <w:rsid w:val="00FE240B"/>
    <w:rsid w:val="00FF36A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7F4A03-BB9A-46A7-AF1C-3EBDC2378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11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D01155"/>
    <w:rPr>
      <w:sz w:val="16"/>
      <w:szCs w:val="16"/>
    </w:rPr>
  </w:style>
  <w:style w:type="paragraph" w:styleId="CommentText">
    <w:name w:val="annotation text"/>
    <w:basedOn w:val="Normal"/>
    <w:link w:val="CommentTextChar"/>
    <w:uiPriority w:val="99"/>
    <w:semiHidden/>
    <w:unhideWhenUsed/>
    <w:rsid w:val="00D01155"/>
    <w:pPr>
      <w:spacing w:line="240" w:lineRule="auto"/>
    </w:pPr>
    <w:rPr>
      <w:sz w:val="20"/>
      <w:szCs w:val="20"/>
    </w:rPr>
  </w:style>
  <w:style w:type="character" w:customStyle="1" w:styleId="CommentTextChar">
    <w:name w:val="Comment Text Char"/>
    <w:basedOn w:val="DefaultParagraphFont"/>
    <w:link w:val="CommentText"/>
    <w:uiPriority w:val="99"/>
    <w:semiHidden/>
    <w:rsid w:val="00D01155"/>
    <w:rPr>
      <w:sz w:val="20"/>
      <w:szCs w:val="20"/>
    </w:rPr>
  </w:style>
  <w:style w:type="paragraph" w:styleId="CommentSubject">
    <w:name w:val="annotation subject"/>
    <w:basedOn w:val="CommentText"/>
    <w:next w:val="CommentText"/>
    <w:link w:val="CommentSubjectChar"/>
    <w:uiPriority w:val="99"/>
    <w:semiHidden/>
    <w:unhideWhenUsed/>
    <w:rsid w:val="00D01155"/>
    <w:rPr>
      <w:b/>
      <w:bCs/>
    </w:rPr>
  </w:style>
  <w:style w:type="character" w:customStyle="1" w:styleId="CommentSubjectChar">
    <w:name w:val="Comment Subject Char"/>
    <w:basedOn w:val="CommentTextChar"/>
    <w:link w:val="CommentSubject"/>
    <w:uiPriority w:val="99"/>
    <w:semiHidden/>
    <w:rsid w:val="00D01155"/>
    <w:rPr>
      <w:b/>
      <w:bCs/>
      <w:sz w:val="20"/>
      <w:szCs w:val="20"/>
    </w:rPr>
  </w:style>
  <w:style w:type="paragraph" w:styleId="BalloonText">
    <w:name w:val="Balloon Text"/>
    <w:basedOn w:val="Normal"/>
    <w:link w:val="BalloonTextChar"/>
    <w:uiPriority w:val="99"/>
    <w:semiHidden/>
    <w:unhideWhenUsed/>
    <w:rsid w:val="00D011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1155"/>
    <w:rPr>
      <w:rFonts w:ascii="Segoe UI" w:hAnsi="Segoe UI" w:cs="Segoe UI"/>
      <w:sz w:val="18"/>
      <w:szCs w:val="18"/>
    </w:rPr>
  </w:style>
  <w:style w:type="paragraph" w:styleId="ListParagraph">
    <w:name w:val="List Paragraph"/>
    <w:basedOn w:val="Normal"/>
    <w:uiPriority w:val="34"/>
    <w:qFormat/>
    <w:rsid w:val="009E09CD"/>
    <w:pPr>
      <w:ind w:left="720"/>
      <w:contextualSpacing/>
    </w:pPr>
  </w:style>
  <w:style w:type="table" w:styleId="PlainTable4">
    <w:name w:val="Plain Table 4"/>
    <w:basedOn w:val="TableNormal"/>
    <w:uiPriority w:val="44"/>
    <w:rsid w:val="00376D55"/>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2.png"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image" Target="/word/media/25877dff-8934-45cb-a379-cc0fcb0bea06.jpeg" Id="R926af98457c74405" /><Relationship Type="http://schemas.openxmlformats.org/officeDocument/2006/relationships/hyperlink" Target="mailto:andreas.vonfalck@hoganlovells.com" TargetMode="External" Id="Ra864eb61c6b14d8f" /><Relationship Type="http://schemas.openxmlformats.org/officeDocument/2006/relationships/hyperlink" Target="https://mc-7c5ead77-4153-4f21-9a29-b0c7-cm.azurewebsites.net//en/service/intellectual-property" TargetMode="External" Id="R635c7f8ed3f34ddf" /><Relationship Type="http://schemas.openxmlformats.org/officeDocument/2006/relationships/hyperlink" Target="https://mc-7c5ead77-4153-4f21-9a29-b0c7-cm.azurewebsites.net//en/service/patents" TargetMode="External" Id="R6bbe6c4e87a84aa0" /><Relationship Type="http://schemas.openxmlformats.org/officeDocument/2006/relationships/hyperlink" Target="https://mc-7c5ead77-4153-4f21-9a29-b0c7-cm.azurewebsites.net//en/service/ip-litigation-arbitration-and-alternative-dispute-resolution" TargetMode="External" Id="R29c3e17049b34e8c" /><Relationship Type="http://schemas.openxmlformats.org/officeDocument/2006/relationships/hyperlink" Target="https://mc-7c5ead77-4153-4f21-9a29-b0c7-cm.azurewebsites.net//en/service/ip-counseling-and-strategic-portfolio-management" TargetMode="External" Id="R90ec0e2ee5304bd9" /><Relationship Type="http://schemas.openxmlformats.org/officeDocument/2006/relationships/hyperlink" Target="https://mc-7c5ead77-4153-4f21-9a29-b0c7-cm.azurewebsites.net//en/sector/life-sciences-and-healthcare" TargetMode="External" Id="Rf50af5bc799f449c" /><Relationship Type="http://schemas.openxmlformats.org/officeDocument/2006/relationships/hyperlink" Target="https://mc-7c5ead77-4153-4f21-9a29-b0c7-cm.azurewebsites.net//en/aof/digital-health" TargetMode="External" Id="Rabff2f91a7524f48" /><Relationship Type="http://schemas.openxmlformats.org/officeDocument/2006/relationships/hyperlink" Target="https://mc-7c5ead77-4153-4f21-9a29-b0c7-cm.azurewebsites.net//en/aof/hogan-lovells-china-desk" TargetMode="External" Id="R859c1f1137f749f2" /><Relationship Type="http://schemas.openxmlformats.org/officeDocument/2006/relationships/hyperlink" Target="https://mc-7c5ead77-4153-4f21-9a29-b0c7-cm.azurewebsites.net//en/aof/cell-tissue-and-gene-therapies" TargetMode="External" Id="Rd0070f92e0c24329" /></Relationships>
</file>

<file path=word/_rels/fontTable.xml.rels>&#65279;<?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numbering.xml.rels>&#65279;<?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02EA9-7C84-4A3F-97AA-47ABD2406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2</Pages>
  <Words>112</Words>
  <Characters>642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Meenakshi Aggarwal</dc:creator>
  <cp:keywords/>
  <dc:description/>
  <cp:lastModifiedBy>Diksha Gupta</cp:lastModifiedBy>
  <cp:revision>86</cp:revision>
  <dcterms:created xsi:type="dcterms:W3CDTF">2017-05-23T15:09:00Z</dcterms:created>
  <dcterms:modified xsi:type="dcterms:W3CDTF">2018-03-27T11:28:00Z</dcterms:modified>
</cp:coreProperties>
</file>