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de-DE"/>
                      <w:rFonts w:ascii="Calibri" w:hAnsi="Calibri" w:cs="Calibri"/>
                      <w:u w:val="none"/>
                      <w:sz w:val="48"/>
                      <w:szCs w:val="48"/>
                      <w:color w:val="2C5E4F"/>
                    </w:rPr>
                    <w:t>Dr. Carla Luh</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de-DE"/>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de-DE"/>
                      <w:rFonts w:ascii="Georgia" w:hAnsi="Georgia" w:cs="Georgia"/>
                      <w:u w:val="none"/>
                      <w:sz w:val="28"/>
                      <w:szCs w:val="28"/>
                      <w:color w:val="000000"/>
                    </w:rPr>
                    <w:t>Hamburg
</w:t>
                  </w:r>
                  <w:r>
                    <w:rPr>
                      <w:lang w:val="de-DE"/>
                      <w:rFonts w:ascii="Georgia" w:hAnsi="Georgia" w:cs="Georgia"/>
                      <w:u w:val="none"/>
                      <w:sz w:val="28"/>
                      <w:szCs w:val="28"/>
                      <w:color w:val="000000"/>
                    </w:rPr>
                    <w:br/>
                  </w:r>
                  <w:r>
                    <w:rPr>
                      <w:lang w:val="de-DE"/>
                      <w:rFonts w:ascii="Georgia" w:hAnsi="Georgia" w:cs="Georgia"/>
                      <w:u w:val="none"/>
                      <w:sz w:val="28"/>
                      <w:szCs w:val="28"/>
                      <w:color w:val="000000"/>
                    </w:rPr>
                    <w:t>Frankfurt
</w:t>
                  </w:r>
                  <w:r>
                    <w:rPr>
                      <w:lang w:val="de-DE"/>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de-DE"/>
                      <w:rFonts w:ascii="Calibri" w:hAnsi="Calibri" w:cs="Calibri"/>
                      <w:u w:val="none"/>
                      <w:sz w:val="40"/>
                      <w:szCs w:val="40"/>
                      <w:color w:val="58A618"/>
                    </w:rPr>
                    <w:t>Lebenslauf</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Carla Luh leitet die Finanzierungspraxis bei Hogan Lovells in Deutschland sowie die deutsche Praxisgruppe Infrastructure, Energy, Resources and Projects. Sie ist spezialisiert auf komplexe Finanzierungen, insbesondere im Bereich Energie, digitaler Infrastruktur und Real Estate. Sie berät Banken, Sponsoren, Darlehensnehmer und Investoren bei Finanzierungstransaktionen in diesen Bereichen. </w:t>
                  </w:r>
                  <w:r>
                    <w:br/>
                  </w:r>
                </w:p>
                <w:p>
                  <w:pPr>
                    <w:spacing w:line="276"/>
                  </w:pPr>
                  <w:r>
                    <w:rPr>
                      <w:rFonts w:ascii="Georgia" w:hAnsi="Georgia" w:cs="Georgia"/>
                      <w:sz w:val="24"/>
                      <w:szCs w:val="24"/>
                    </w:rPr>
                    <w:t>Nachgewiesene Expertise hat sie insbesondere bei internationalen Transaktionen mit grenzüberschreitenden Bezügen. Aufgrund ihrer umfangreichen Erfahrungen, ihres Verhandlungsgeschicks und des ausgezeichneten Projektmanagements hilft sie, die schwierigsten Fälle erfolgreich zu Financial Close zu bringen. </w:t>
                  </w:r>
                  <w:r>
                    <w:br/>
                  </w:r>
                </w:p>
                <w:p>
                  <w:pPr>
                    <w:spacing w:line="276"/>
                  </w:pPr>
                  <w:r>
                    <w:rPr>
                      <w:rFonts w:ascii="Georgia" w:hAnsi="Georgia" w:cs="Georgia"/>
                      <w:sz w:val="24"/>
                      <w:szCs w:val="24"/>
                    </w:rPr>
                    <w:t>Carla Luh wird regelmäßig von verschiedenen juristischen Handbüchern für ihre Arbeit anerkannt und empfohlen. Der US-Verlag Best Lawyers zählt sie z.B. seit 2014 zu den besten Rechtsanwälten im Bereich Projektfinanzierung und -entwicklung in Deutschland. Chambers Europe 2023 schreibt: „Carla Luh unterstützt uns auf sehr professionelle, pragmatische und lösungsorientierte Weise. Sie ist stets erreichbar, geht auf unsere Wünsche ein und ist zuverlässig und präzise in ihrer Arbeit.“ Legal 500 Deutschland 2022 fügt hinzu: „Die Zusammenarbeit mit ihr ist sehr vertrauenswürdig. Sie ist stets verfügbar und reagiert selbst unter höchstem Druck extrem schnell. Gleichzeitig versteht sie es, komplexe Themen einfach und verständlich zu erläutern. In Verhandlungen sind ihre sauber aufgearbeitete Argumentation und ihre Schlagfertigkeit ein echtes Plus. Sie verliert dabei nicht den Gesamtüberblick, was sie zu einer erstklassigen Anwältin macht.“</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de-DE"/>
                      <w:rFonts w:ascii="Calibri" w:hAnsi="Calibri" w:cs="Calibri"/>
                      <w:u w:val="none"/>
                      <w:sz w:val="40"/>
                      <w:szCs w:val="40"/>
                      <w:color w:val="58A618"/>
                    </w:rPr>
                    <w:t>Beratungshighlights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de-DE"/>
                      <w:rFonts w:ascii="Georgia" w:hAnsi="Georgia" w:cs="Georgia"/>
                      <w:u w:val="none"/>
                      <w:sz w:val="24"/>
                      <w:szCs w:val="24"/>
                      <w:color w:val="000000"/>
                    </w:rPr>
                    <w:t>Beratung der CEE-Gruppe bei der Refinanzierung bestehender Anlagen und der 1,6 Milliarden Euro Finanzierung für die Neuaufrüstung eines groß angelegten Solar- und Windportfolios in Deutschland und Frankreich.</w:t>
                  </w:r>
                  <w:r>
                    <w:rPr>
                      <w:lang w:val="de-DE"/>
                      <w:u w:val="none"/>
                    </w:rPr>
                    <w:br/>
                  </w:r>
                  <w:r>
                    <w:rPr>
                      <w:lang w:val="de-DE"/>
                      <w:u w:val="none"/>
                    </w:rPr>
                    <w:br/>
                  </w:r>
                  <w:r>
                    <w:rPr>
                      <w:lang w:val="de-DE"/>
                      <w:rFonts w:ascii="Georgia" w:hAnsi="Georgia" w:cs="Georgia"/>
                      <w:u w:val="none"/>
                      <w:sz w:val="24"/>
                      <w:szCs w:val="24"/>
                      <w:color w:val="000000"/>
                    </w:rPr>
                    <w:t>Beratung der SHS Group bei der 1,7-Milliarden-Euro-Finanzierung ihres Dekarbonisierungsprojekts Power4Steel, einer der größten europäischen Dekarbonisierungsinitiativen im Stahlsektor.</w:t>
                  </w:r>
                  <w:r>
                    <w:rPr>
                      <w:lang w:val="de-DE"/>
                      <w:u w:val="none"/>
                    </w:rPr>
                    <w:br/>
                  </w:r>
                  <w:r>
                    <w:rPr>
                      <w:lang w:val="de-DE"/>
                      <w:u w:val="none"/>
                    </w:rPr>
                    <w:br/>
                  </w:r>
                  <w:r>
                    <w:rPr>
                      <w:lang w:val="de-DE"/>
                      <w:rFonts w:ascii="Georgia" w:hAnsi="Georgia" w:cs="Georgia"/>
                      <w:u w:val="none"/>
                      <w:sz w:val="24"/>
                      <w:szCs w:val="24"/>
                      <w:color w:val="000000"/>
                    </w:rPr>
                    <w:t>Beratung von VIRTUS Data Centres, einem preisgekrönten reinen Rechenzentrumsbetreiber, bei der ersten Rechenzentrumsfinanzierung in Deutschland.</w:t>
                  </w:r>
                  <w:r>
                    <w:rPr>
                      <w:lang w:val="de-DE"/>
                      <w:u w:val="none"/>
                    </w:rPr>
                    <w:br/>
                  </w:r>
                  <w:r>
                    <w:rPr>
                      <w:lang w:val="de-DE"/>
                      <w:u w:val="none"/>
                    </w:rPr>
                    <w:br/>
                  </w:r>
                  <w:r>
                    <w:rPr>
                      <w:lang w:val="de-DE"/>
                      <w:rFonts w:ascii="Georgia" w:hAnsi="Georgia" w:cs="Georgia"/>
                      <w:u w:val="none"/>
                      <w:sz w:val="24"/>
                      <w:szCs w:val="24"/>
                      <w:color w:val="000000"/>
                    </w:rPr>
                    <w:t>Beratung der Europäischen Investitionsbank zu einem Schuldenfinanzierungspaket von 1,185 Milliarden Euro für die erste Phase des Lionheart-Projekts von Vulcan Energy, einer Entwicklung für erneuerbare Energien und Lithiumförderung in Deutschland.</w:t>
                  </w:r>
                  <w:r>
                    <w:rPr>
                      <w:lang w:val="de-DE"/>
                      <w:u w:val="none"/>
                    </w:rPr>
                    <w:br/>
                  </w:r>
                  <w:r>
                    <w:rPr>
                      <w:lang w:val="de-DE"/>
                      <w:u w:val="none"/>
                    </w:rPr>
                    <w:br/>
                  </w:r>
                  <w:r>
                    <w:rPr>
                      <w:lang w:val="de-DE"/>
                      <w:rFonts w:ascii="Georgia" w:hAnsi="Georgia" w:cs="Georgia"/>
                      <w:u w:val="none"/>
                      <w:sz w:val="24"/>
                      <w:szCs w:val="24"/>
                      <w:color w:val="000000"/>
                    </w:rPr>
                    <w:t>Beratung der Mainova WebHouse GmbH zu einer Finanzierung von 475 Millionen Euro für Rechenzentrumsprojekte in Frankfurt.</w:t>
                  </w:r>
                  <w:r>
                    <w:rPr>
                      <w:lang w:val="de-DE"/>
                      <w:u w:val="none"/>
                    </w:rPr>
                    <w:br/>
                  </w:r>
                  <w:r>
                    <w:rPr>
                      <w:lang w:val="de-DE"/>
                      <w:u w:val="none"/>
                    </w:rPr>
                    <w:br/>
                  </w:r>
                  <w:r>
                    <w:rPr>
                      <w:lang w:val="de-DE"/>
                      <w:rFonts w:ascii="Georgia" w:hAnsi="Georgia" w:cs="Georgia"/>
                      <w:u w:val="none"/>
                      <w:sz w:val="24"/>
                      <w:szCs w:val="24"/>
                      <w:color w:val="000000"/>
                    </w:rPr>
                    <w:t>Beratung des europäischen Infrastrukturteams von ICG bei einer Partnerschaft mit W Power Storage, einer deutschen Plattform, die sich auf Netz-Skala-Batteriespeichersysteme (BESS) spezialisiert hat.</w:t>
                  </w:r>
                  <w:r>
                    <w:rPr>
                      <w:lang w:val="de-DE"/>
                      <w:u w:val="none"/>
                    </w:rPr>
                    <w:br/>
                  </w:r>
                  <w:r>
                    <w:rPr>
                      <w:lang w:val="de-DE"/>
                      <w:u w:val="none"/>
                    </w:rPr>
                    <w:br/>
                  </w:r>
                  <w:r>
                    <w:rPr>
                      <w:lang w:val="de-DE"/>
                      <w:rFonts w:ascii="Georgia" w:hAnsi="Georgia" w:cs="Georgia"/>
                      <w:u w:val="none"/>
                      <w:sz w:val="24"/>
                      <w:szCs w:val="24"/>
                      <w:color w:val="000000"/>
                    </w:rPr>
                    <w:t>Beratung von Calisen in einer einzigartigen strategischen Partnerschaft mit Octopus Energy Metering Germany GmbH für die Finanzierung und den Betrieb intelligenter Zähler in Deutschland.</w:t>
                  </w:r>
                  <w:r>
                    <w:rPr>
                      <w:lang w:val="de-DE"/>
                      <w:u w:val="none"/>
                    </w:rPr>
                    <w:br/>
                  </w:r>
                  <w:r>
                    <w:rPr>
                      <w:lang w:val="de-DE"/>
                      <w:u w:val="none"/>
                    </w:rPr>
                    <w:br/>
                  </w:r>
                  <w:r>
                    <w:rPr>
                      <w:lang w:val="de-DE"/>
                      <w:rFonts w:ascii="Georgia" w:hAnsi="Georgia" w:cs="Georgia"/>
                      <w:u w:val="none"/>
                      <w:sz w:val="24"/>
                      <w:szCs w:val="24"/>
                      <w:color w:val="000000"/>
                    </w:rPr>
                    <w:t>Beratung der Rune Group S.A. bei der Neuverhandlung von Krediteinrichtungen in Höhe von 130 Mio Euro und einer Akkordeonerhöhung der bestehenden Finanzierung um 30 Mio Euro zur Unterstützung der Ausweitung der FTTH-Einführung in Kroatien &amp; Slowenien.</w:t>
                  </w:r>
                  <w:r>
                    <w:rPr>
                      <w:lang w:val="de-DE"/>
                      <w:u w:val="none"/>
                    </w:rPr>
                    <w:br/>
                  </w:r>
                  <w:r>
                    <w:rPr>
                      <w:lang w:val="de-DE"/>
                      <w:u w:val="none"/>
                    </w:rPr>
                    <w:br/>
                  </w:r>
                  <w:r>
                    <w:rPr>
                      <w:lang w:val="de-DE"/>
                      <w:rFonts w:ascii="Georgia" w:hAnsi="Georgia" w:cs="Georgia"/>
                      <w:u w:val="none"/>
                      <w:sz w:val="24"/>
                      <w:szCs w:val="24"/>
                      <w:color w:val="000000"/>
                    </w:rPr>
                    <w:t>Beratung der Deutschen Bank AG bei einer Finanzierung von 125 Millionen Euro für Photovoltaikprojekte im Besitz der QUARTERBACK Energy Project GmbH.</w:t>
                  </w:r>
                  <w:r>
                    <w:rPr>
                      <w:lang w:val="de-DE"/>
                      <w:u w:val="none"/>
                    </w:rPr>
                    <w:br/>
                  </w:r>
                  <w:r>
                    <w:rPr>
                      <w:lang w:val="de-DE"/>
                      <w:u w:val="none"/>
                    </w:rPr>
                    <w:br/>
                  </w:r>
                  <w:r>
                    <w:rPr>
                      <w:lang w:val="de-DE"/>
                      <w:rFonts w:ascii="Georgia" w:hAnsi="Georgia" w:cs="Georgia"/>
                      <w:u w:val="none"/>
                      <w:sz w:val="24"/>
                      <w:szCs w:val="24"/>
                      <w:color w:val="000000"/>
                    </w:rPr>
                    <w:t>Beratung der Kommunalkredit Austria AG bei der Finanzierung des internationalen Greencells-Portfolios der Greencells Group.</w:t>
                  </w:r>
                  <w:r>
                    <w:rPr>
                      <w:lang w:val="de-DE"/>
                      <w:u w:val="none"/>
                    </w:rPr>
                    <w:br/>
                  </w:r>
                  <w:r>
                    <w:rPr>
                      <w:lang w:val="de-DE"/>
                      <w:u w:val="none"/>
                    </w:rPr>
                    <w:br/>
                  </w:r>
                  <w:r>
                    <w:rPr>
                      <w:lang w:val="de-DE"/>
                      <w:rFonts w:ascii="Georgia" w:hAnsi="Georgia" w:cs="Georgia"/>
                      <w:u w:val="none"/>
                      <w:sz w:val="24"/>
                      <w:szCs w:val="24"/>
                      <w:color w:val="000000"/>
                    </w:rPr>
                    <w:t>Beratung der Berenberg und Berenberg Green Energy Debt Funds bei der Finanzierung von ENVIRIA für den Bau der größten Solarpipeline Deutschlands.</w:t>
                  </w:r>
                  <w:r>
                    <w:rPr>
                      <w:lang w:val="de-DE"/>
                      <w:u w:val="none"/>
                    </w:rPr>
                    <w:br/>
                  </w:r>
                  <w:r>
                    <w:rPr>
                      <w:lang w:val="de-DE"/>
                      <w:u w:val="none"/>
                    </w:rPr>
                    <w:br/>
                  </w:r>
                  <w:r>
                    <w:rPr>
                      <w:lang w:val="de-DE"/>
                      <w:rFonts w:ascii="Georgia" w:hAnsi="Georgia" w:cs="Georgia"/>
                      <w:u w:val="none"/>
                      <w:sz w:val="24"/>
                      <w:szCs w:val="24"/>
                      <w:color w:val="000000"/>
                    </w:rPr>
                    <w:t>Beratung von Energy Infrastructure Partners AG (EIP) bei der Refinanzierung ihrer Investitionen in den Offshore-Windpark Arkona-Becken Südost in der Ostsee.</w:t>
                  </w:r>
                  <w:r>
                    <w:rPr>
                      <w:lang w:val="de-DE"/>
                      <w:u w:val="none"/>
                    </w:rPr>
                    <w:br/>
                  </w:r>
                  <w:r>
                    <w:rPr>
                      <w:lang w:val="de-DE"/>
                      <w:u w:val="none"/>
                    </w:rPr>
                    <w:br/>
                  </w:r>
                  <w:r>
                    <w:rPr>
                      <w:lang w:val="de-DE"/>
                      <w:rFonts w:ascii="Georgia" w:hAnsi="Georgia" w:cs="Georgia"/>
                      <w:u w:val="none"/>
                      <w:sz w:val="24"/>
                      <w:szCs w:val="24"/>
                      <w:color w:val="000000"/>
                    </w:rPr>
                    <w:t>Beratung von GVG Glasfaser bei einer Finanzierung von 85 Millionen Euro zur Unterstützung des weiteren Ausbaus von FTTH-Netzen.</w:t>
                  </w:r>
                  <w:r>
                    <w:rPr>
                      <w:lang w:val="de-DE"/>
                      <w:u w:val="none"/>
                    </w:rPr>
                    <w:br/>
                  </w:r>
                  <w:r>
                    <w:rPr>
                      <w:lang w:val="de-DE"/>
                      <w:u w:val="none"/>
                    </w:rPr>
                    <w:br/>
                  </w:r>
                  <w:r>
                    <w:rPr>
                      <w:lang w:val="de-DE"/>
                      <w:rFonts w:ascii="Georgia" w:hAnsi="Georgia" w:cs="Georgia"/>
                      <w:u w:val="none"/>
                      <w:sz w:val="24"/>
                      <w:szCs w:val="24"/>
                      <w:color w:val="000000"/>
                    </w:rPr>
                    <w:t>Beratung der Encavis Asset Management AG bei der Finanzierung eines der größten Solarparks Deutschlands.</w:t>
                  </w:r>
                  <w:r>
                    <w:rPr>
                      <w:lang w:val="de-DE"/>
                      <w:u w:val="none"/>
                    </w:rPr>
                    <w:br/>
                  </w:r>
                  <w:r>
                    <w:rPr>
                      <w:lang w:val="de-DE"/>
                      <w:u w:val="none"/>
                    </w:rPr>
                    <w:br/>
                  </w:r>
                  <w:r>
                    <w:rPr>
                      <w:lang w:val="de-DE"/>
                      <w:rFonts w:ascii="Georgia" w:hAnsi="Georgia" w:cs="Georgia"/>
                      <w:u w:val="none"/>
                      <w:sz w:val="24"/>
                      <w:szCs w:val="24"/>
                      <w:color w:val="000000"/>
                    </w:rPr>
                    <w:t>Beratung der Kudelski-Gruppe zu einer von Farallon Capital Europe LLP bereitgestellten Kreditfazilität in Höhe von 150 Millionen CHF.</w:t>
                  </w:r>
                  <w:r>
                    <w:rPr>
                      <w:lang w:val="de-DE"/>
                      <w:u w:val="none"/>
                    </w:rPr>
                    <w:br/>
                  </w:r>
                  <w:r>
                    <w:rPr>
                      <w:lang w:val="de-DE"/>
                      <w:u w:val="none"/>
                    </w:rPr>
                    <w:br/>
                  </w:r>
                  <w:r>
                    <w:rPr>
                      <w:lang w:val="de-DE"/>
                      <w:rFonts w:ascii="Georgia" w:hAnsi="Georgia" w:cs="Georgia"/>
                      <w:u w:val="none"/>
                      <w:sz w:val="24"/>
                      <w:szCs w:val="24"/>
                      <w:color w:val="000000"/>
                    </w:rPr>
                    <w:t>Beratung von Berenberg und den Berenberg Green Energy Debt Funds bei der Finanzierung des Windparks Mikonkeidas an der Westküste Finnlands.</w:t>
                  </w:r>
                  <w:r>
                    <w:rPr>
                      <w:lang w:val="de-DE"/>
                      <w:u w:val="none"/>
                    </w:rPr>
                    <w:br/>
                  </w:r>
                  <w:r>
                    <w:rPr>
                      <w:lang w:val="de-DE"/>
                      <w:u w:val="none"/>
                    </w:rPr>
                    <w:br/>
                  </w:r>
                  <w:r>
                    <w:rPr>
                      <w:lang w:val="de-DE"/>
                      <w:rFonts w:ascii="Georgia" w:hAnsi="Georgia" w:cs="Georgia"/>
                      <w:u w:val="none"/>
                      <w:sz w:val="24"/>
                      <w:szCs w:val="24"/>
                      <w:color w:val="000000"/>
                    </w:rPr>
                    <w:t>Beratung von Berenberg und den Berenberg Green Energy Debt Funds bei der Finanzierung eines Windpark-Portfolios im Besitz von ABO Energy in Deutschland.</w:t>
                  </w:r>
                  <w:r>
                    <w:rPr>
                      <w:lang w:val="de-DE"/>
                      <w:u w:val="none"/>
                    </w:rPr>
                    <w:br/>
                  </w:r>
                  <w:r>
                    <w:rPr>
                      <w:lang w:val="de-DE"/>
                      <w:u w:val="none"/>
                    </w:rPr>
                    <w:br/>
                  </w:r>
                  <w:r>
                    <w:rPr>
                      <w:lang w:val="de-DE"/>
                      <w:rFonts w:ascii="Georgia" w:hAnsi="Georgia" w:cs="Georgia"/>
                      <w:u w:val="none"/>
                      <w:sz w:val="24"/>
                      <w:szCs w:val="24"/>
                      <w:color w:val="000000"/>
                    </w:rPr>
                    <w:t>Beratung der Terra One Climate Solutions GmbH bei einer Mezzanine-Finanzierung in Höhe von 150 Millionen Euro für die Entwicklung und den Bau von Batteriespeichersystemen (BESS) in ganz Europa.</w:t>
                  </w:r>
                  <w:r>
                    <w:rPr>
                      <w:lang w:val="de-DE"/>
                      <w:u w:val="none"/>
                    </w:rPr>
                    <w:br/>
                  </w:r>
                  <w:r>
                    <w:rPr>
                      <w:lang w:val="de-DE"/>
                      <w:u w:val="none"/>
                    </w:rPr>
                    <w:br/>
                  </w:r>
                  <w:r>
                    <w:rPr>
                      <w:lang w:val="de-DE"/>
                      <w:rFonts w:ascii="Georgia" w:hAnsi="Georgia" w:cs="Georgia"/>
                      <w:u w:val="none"/>
                      <w:sz w:val="24"/>
                      <w:szCs w:val="24"/>
                      <w:color w:val="000000"/>
                    </w:rPr>
                    <w:t>Beratung von reVenton Asset Partners zu einer von der Eiffel Investment Group bereitgestellten Finanzierung zur Unterstützung einer 1,2-GW-Pipeline für erneuerbare Energien in Deutschland.</w:t>
                  </w:r>
                  <w:r>
                    <w:rPr>
                      <w:lang w:val="de-DE"/>
                      <w:u w:val="none"/>
                    </w:rPr>
                    <w:br/>
                  </w:r>
                  <w:r>
                    <w:rPr>
                      <w:lang w:val="de-DE"/>
                      <w:u w:val="none"/>
                    </w:rPr>
                    <w:br/>
                  </w:r>
                  <w:r>
                    <w:rPr>
                      <w:lang w:val="de-DE"/>
                      <w:rFonts w:ascii="Georgia" w:hAnsi="Georgia" w:cs="Georgia"/>
                      <w:u w:val="none"/>
                      <w:sz w:val="24"/>
                      <w:szCs w:val="24"/>
                      <w:color w:val="000000"/>
                    </w:rPr>
                    <w:t>Beratung der Kommunalkredit Austria AG bei einer Senior Construction Bridge Facility für zwei Photovoltaik-Projekte von PARQ energy.</w:t>
                  </w:r>
                  <w:r>
                    <w:rPr>
                      <w:lang w:val="de-DE"/>
                      <w:u w:val="none"/>
                    </w:rPr>
                    <w:br/>
                  </w:r>
                  <w:r>
                    <w:rPr>
                      <w:lang w:val="de-DE"/>
                      <w:u w:val="none"/>
                    </w:rPr>
                    <w:br/>
                  </w:r>
                  <w:r>
                    <w:rPr>
                      <w:lang w:val="de-DE"/>
                      <w:rFonts w:ascii="Georgia" w:hAnsi="Georgia" w:cs="Georgia"/>
                      <w:u w:val="none"/>
                      <w:sz w:val="24"/>
                      <w:szCs w:val="24"/>
                      <w:color w:val="000000"/>
                    </w:rPr>
                    <w:t>Beratung der Banco Santander, S.A bei der Finanzierung des ersten eigenständigen Hochspannungsbatteriespeichersystems (BESS) des dänischen Erneuerbare-Energien-Investors Obton in Deutschland.</w:t>
                  </w:r>
                  <w:r>
                    <w:rPr>
                      <w:lang w:val="de-DE"/>
                      <w:u w:val="none"/>
                    </w:rPr>
                    <w:br/>
                  </w:r>
                  <w:r>
                    <w:rPr>
                      <w:lang w:val="de-DE"/>
                      <w:u w:val="none"/>
                    </w:rPr>
                    <w:br/>
                  </w:r>
                  <w:r>
                    <w:rPr>
                      <w:lang w:val="de-DE"/>
                      <w:rFonts w:ascii="Georgia" w:hAnsi="Georgia" w:cs="Georgia"/>
                      <w:u w:val="none"/>
                      <w:sz w:val="24"/>
                      <w:szCs w:val="24"/>
                      <w:color w:val="000000"/>
                    </w:rPr>
                    <w:t>Beratung der neuen Qualitas Energy Schuldenstrategie bei Debüt-Finanzierung von Photovoltaikprojekten in Deutschland und Polen.</w:t>
                  </w:r>
                  <w:r>
                    <w:rPr>
                      <w:lang w:val="de-DE"/>
                      <w:u w:val="none"/>
                    </w:rPr>
                    <w:br/>
                  </w:r>
                  <w:r>
                    <w:rPr>
                      <w:lang w:val="de-DE"/>
                      <w:u w:val="none"/>
                    </w:rPr>
                    <w:br/>
                  </w:r>
                  <w:r>
                    <w:rPr>
                      <w:lang w:val="de-DE"/>
                      <w:rFonts w:ascii="Georgia" w:hAnsi="Georgia" w:cs="Georgia"/>
                      <w:u w:val="none"/>
                      <w:sz w:val="24"/>
                      <w:szCs w:val="24"/>
                      <w:color w:val="000000"/>
                    </w:rPr>
                    <w:t>Beratung von internationalen Banken und Dänemarks Export- und Investitionsfonds (EIFO) in Vertretung der dänischen Regierung bei der 370 Millionen Euro Finanzierung der Phase II des Windkraftwerks Tyligulska in der Region Mykolajiw in der Ukraine.</w:t>
                  </w:r>
                  <w:r>
                    <w:rPr>
                      <w:lang w:val="de-DE"/>
                      <w:u w:val="none"/>
                    </w:rPr>
                    <w:br/>
                  </w:r>
                  <w:r>
                    <w:rPr>
                      <w:lang w:val="de-DE"/>
                      <w:u w:val="none"/>
                    </w:rPr>
                    <w:br/>
                  </w:r>
                  <w:r>
                    <w:rPr>
                      <w:lang w:val="de-DE"/>
                      <w:rFonts w:ascii="Georgia" w:hAnsi="Georgia" w:cs="Georgia"/>
                      <w:u w:val="none"/>
                      <w:sz w:val="24"/>
                      <w:szCs w:val="24"/>
                      <w:color w:val="000000"/>
                    </w:rPr>
                    <w:t>Beratung von Luxcara zusammen mit ihren Projektgesellschaften bei der Finanzierung eines 315,7 MWp großen Photovoltaikportfolios in Dänemark.</w:t>
                  </w:r>
                  <w:r>
                    <w:rPr>
                      <w:lang w:val="de-DE"/>
                      <w:u w:val="none"/>
                    </w:rPr>
                    <w:br/>
                  </w:r>
                  <w:r>
                    <w:rPr>
                      <w:lang w:val="de-DE"/>
                      <w:u w:val="none"/>
                    </w:rPr>
                    <w:br/>
                  </w:r>
                  <w:r>
                    <w:rPr>
                      <w:lang w:val="de-DE"/>
                      <w:rFonts w:ascii="Georgia" w:hAnsi="Georgia" w:cs="Georgia"/>
                      <w:u w:val="none"/>
                      <w:sz w:val="24"/>
                      <w:szCs w:val="24"/>
                      <w:color w:val="000000"/>
                    </w:rPr>
                    <w:t>Beratung von Mediobanca und Natixis beim Finanzierungspaket zur Unterstützung der Eigenkapitalinvestition von Energy Infrastructure Partners (EIP) in ENI Plenitude sowie eines Bankenkonsortiums bei der Eigenkapitalerhöhung von EIP um 209 Mio. Euro.</w:t>
                  </w:r>
                  <w:r>
                    <w:rPr>
                      <w:lang w:val="de-DE"/>
                      <w:u w:val="none"/>
                    </w:rPr>
                    <w:br/>
                  </w:r>
                  <w:r>
                    <w:rPr>
                      <w:lang w:val="de-DE"/>
                      <w:u w:val="none"/>
                    </w:rPr>
                    <w:br/>
                  </w:r>
                  <w:r>
                    <w:rPr>
                      <w:lang w:val="de-DE"/>
                      <w:rFonts w:ascii="Georgia" w:hAnsi="Georgia" w:cs="Georgia"/>
                      <w:u w:val="none"/>
                      <w:sz w:val="24"/>
                      <w:szCs w:val="24"/>
                      <w:color w:val="000000"/>
                    </w:rPr>
                    <w:t>Beratung eines internationalen Bankenkonsortiums bei einer Projektrefinanzierung in Höhe von 203 Millionen Euro für spanische Solarparks der Encavis AG.</w:t>
                  </w:r>
                  <w:r>
                    <w:rPr>
                      <w:lang w:val="de-DE"/>
                      <w:u w:val="none"/>
                    </w:rPr>
                    <w:br/>
                  </w:r>
                  <w:r>
                    <w:rPr>
                      <w:lang w:val="de-DE"/>
                      <w:u w:val="none"/>
                    </w:rPr>
                    <w:br/>
                  </w:r>
                  <w:r>
                    <w:rPr>
                      <w:lang w:val="de-DE"/>
                      <w:rFonts w:ascii="Georgia" w:hAnsi="Georgia" w:cs="Georgia"/>
                      <w:u w:val="none"/>
                      <w:sz w:val="24"/>
                      <w:szCs w:val="24"/>
                      <w:color w:val="000000"/>
                    </w:rPr>
                    <w:t>Beratung von Berenberg Green Energy Junior Debt Funds bei der Unitranche-Finanzierung eines Photovoltaikportfolios in Deutschland sowie bei der Finanzierung eines Photovoltaikportfolios im Besitz von ABO in Ungarn.</w:t>
                  </w:r>
                  <w:r>
                    <w:rPr>
                      <w:lang w:val="de-DE"/>
                      <w:u w:val="none"/>
                    </w:rPr>
                    <w:br/>
                  </w:r>
                  <w:r>
                    <w:rPr>
                      <w:lang w:val="de-DE"/>
                      <w:u w:val="none"/>
                    </w:rPr>
                    <w:br/>
                  </w:r>
                  <w:r>
                    <w:rPr>
                      <w:lang w:val="de-DE"/>
                      <w:rFonts w:ascii="Georgia" w:hAnsi="Georgia" w:cs="Georgia"/>
                      <w:u w:val="none"/>
                      <w:sz w:val="24"/>
                      <w:szCs w:val="24"/>
                      <w:color w:val="000000"/>
                    </w:rPr>
                    <w:t>Beratung der Northern Fiber Holding GmbH bei einer Erweiterungsfinanzierung in Höhe von 175 Millionen Euro durch die Europäische Investitionsbank für den Ausbau ihrer Glasfasernetze.</w:t>
                  </w:r>
                  <w:r>
                    <w:rPr>
                      <w:lang w:val="de-DE"/>
                      <w:u w:val="none"/>
                    </w:rPr>
                    <w:br/>
                  </w:r>
                  <w:r>
                    <w:rPr>
                      <w:lang w:val="de-DE"/>
                      <w:u w:val="none"/>
                    </w:rPr>
                    <w:br/>
                  </w:r>
                  <w:r>
                    <w:rPr>
                      <w:lang w:val="de-DE"/>
                      <w:rFonts w:ascii="Georgia" w:hAnsi="Georgia" w:cs="Georgia"/>
                      <w:u w:val="none"/>
                      <w:sz w:val="24"/>
                      <w:szCs w:val="24"/>
                      <w:color w:val="000000"/>
                    </w:rPr>
                    <w:t>Beratung bei der 4,4 Milliarden Euro Projektfinanzierung des Offshore-Windprojekts Baltic Power in Polen.</w:t>
                  </w:r>
                  <w:r>
                    <w:rPr>
                      <w:lang w:val="de-DE"/>
                      <w:u w:val="none"/>
                    </w:rPr>
                    <w:br/>
                  </w:r>
                  <w:r>
                    <w:rPr>
                      <w:lang w:val="de-DE"/>
                      <w:u w:val="none"/>
                    </w:rPr>
                    <w:br/>
                  </w:r>
                  <w:r>
                    <w:rPr>
                      <w:lang w:val="de-DE"/>
                      <w:rFonts w:ascii="Georgia" w:hAnsi="Georgia" w:cs="Georgia"/>
                      <w:u w:val="none"/>
                      <w:sz w:val="24"/>
                      <w:szCs w:val="24"/>
                      <w:color w:val="000000"/>
                    </w:rPr>
                    <w:t>Beratung eines internationalen Bankenkonsortiums bei einer Finanzierung in Höhe von 180 Millionen Euro zur Umsetzung von Photovoltaikprojekten der Encavis AG.</w:t>
                  </w:r>
                  <w:r>
                    <w:rPr>
                      <w:lang w:val="de-DE"/>
                      <w:u w:val="none"/>
                    </w:rPr>
                    <w:br/>
                  </w:r>
                  <w:r>
                    <w:rPr>
                      <w:lang w:val="de-DE"/>
                      <w:u w:val="none"/>
                    </w:rPr>
                    <w:br/>
                  </w:r>
                  <w:r>
                    <w:rPr>
                      <w:lang w:val="de-DE"/>
                      <w:rFonts w:ascii="Georgia" w:hAnsi="Georgia" w:cs="Georgia"/>
                      <w:u w:val="none"/>
                      <w:sz w:val="24"/>
                      <w:szCs w:val="24"/>
                      <w:color w:val="000000"/>
                    </w:rPr>
                    <w:t>Beratung von DIF Capital Partners, metrofibre und Essener Versorgungs- und Verkehrsgesellschaft mbH bei der Finanzierung eines grünen Darlehens in Höhe von 120 Millionen Euro für das deutsche Glasfaserprojekt ruhrfibre.</w:t>
                  </w:r>
                  <w:r>
                    <w:rPr>
                      <w:lang w:val="de-DE"/>
                      <w:u w:val="none"/>
                    </w:rPr>
                    <w:br/>
                  </w:r>
                  <w:r>
                    <w:rPr>
                      <w:lang w:val="de-DE"/>
                      <w:u w:val="none"/>
                    </w:rPr>
                    <w:br/>
                  </w:r>
                  <w:r>
                    <w:rPr>
                      <w:lang w:val="de-DE"/>
                      <w:rFonts w:ascii="Georgia" w:hAnsi="Georgia" w:cs="Georgia"/>
                      <w:u w:val="none"/>
                      <w:sz w:val="24"/>
                      <w:szCs w:val="24"/>
                      <w:color w:val="000000"/>
                    </w:rPr>
                    <w:t>Beratung von ib vogt GmbH beim Abschluss einer Finanzierung mit Santander Corporate &amp; Investment Banking in Höhe von 350 Millionen Euro für eine „Erneuerbare Energien“-Plattform.</w:t>
                  </w:r>
                  <w:r>
                    <w:rPr>
                      <w:lang w:val="de-DE"/>
                      <w:u w:val="none"/>
                    </w:rPr>
                    <w:br/>
                  </w:r>
                  <w:r>
                    <w:rPr>
                      <w:lang w:val="de-DE"/>
                      <w:u w:val="none"/>
                    </w:rPr>
                    <w:br/>
                  </w:r>
                  <w:r>
                    <w:rPr>
                      <w:lang w:val="de-DE"/>
                      <w:rFonts w:ascii="Georgia" w:hAnsi="Georgia" w:cs="Georgia"/>
                      <w:u w:val="none"/>
                      <w:sz w:val="24"/>
                      <w:szCs w:val="24"/>
                      <w:color w:val="000000"/>
                    </w:rPr>
                    <w:t>Beratung von UBS Asset Management und Northern Fiber Holding GmbH bei einer Finanzierung in Höhe von 550 Millionen Euro für den Ausbau ihrer Glasfasernetze.</w:t>
                  </w:r>
                  <w:r>
                    <w:rPr>
                      <w:lang w:val="de-DE"/>
                      <w:u w:val="none"/>
                    </w:rPr>
                    <w:br/>
                  </w:r>
                  <w:r>
                    <w:rPr>
                      <w:lang w:val="de-DE"/>
                      <w:u w:val="none"/>
                    </w:rPr>
                    <w:br/>
                  </w:r>
                  <w:r>
                    <w:rPr>
                      <w:lang w:val="de-DE"/>
                      <w:rFonts w:ascii="Georgia" w:hAnsi="Georgia" w:cs="Georgia"/>
                      <w:u w:val="none"/>
                      <w:sz w:val="24"/>
                      <w:szCs w:val="24"/>
                      <w:color w:val="000000"/>
                    </w:rPr>
                    <w:t>Beratung eines internationalen Kreditkonsortiums bei einem Finanzierungspaket in Höhe von 1,035 Milliarden Euro für den Frankfurter Betreiber von Rechenzentren maincubes.</w:t>
                  </w:r>
                  <w:r>
                    <w:rPr>
                      <w:lang w:val="de-DE"/>
                      <w:u w:val="none"/>
                    </w:rPr>
                    <w:br/>
                  </w:r>
                  <w:r>
                    <w:rPr>
                      <w:lang w:val="de-DE"/>
                      <w:u w:val="none"/>
                    </w:rPr>
                    <w:br/>
                  </w:r>
                  <w:r>
                    <w:rPr>
                      <w:lang w:val="de-DE"/>
                      <w:rFonts w:ascii="Georgia" w:hAnsi="Georgia" w:cs="Georgia"/>
                      <w:u w:val="none"/>
                      <w:sz w:val="24"/>
                      <w:szCs w:val="24"/>
                      <w:color w:val="000000"/>
                    </w:rPr>
                    <w:t>Beratung bei der Refinanzierung eines Geothermie-Kraftwerks eines führenden britischen Infrastrukturinvestors.</w:t>
                  </w:r>
                  <w:r>
                    <w:rPr>
                      <w:lang w:val="de-DE"/>
                      <w:u w:val="none"/>
                    </w:rPr>
                    <w:br/>
                  </w:r>
                  <w:r>
                    <w:rPr>
                      <w:lang w:val="de-DE"/>
                      <w:u w:val="none"/>
                    </w:rPr>
                    <w:br/>
                  </w:r>
                  <w:r>
                    <w:rPr>
                      <w:lang w:val="de-DE"/>
                      <w:rFonts w:ascii="Georgia" w:hAnsi="Georgia" w:cs="Georgia"/>
                      <w:u w:val="none"/>
                      <w:sz w:val="24"/>
                      <w:szCs w:val="24"/>
                      <w:color w:val="000000"/>
                    </w:rPr>
                    <w:t>Beratung des Glasfaser- und Telekommunikationsnetzbetreibers Strategic Fiber Networks GmbH aus dem iCON Infrastructure Fonds bei einer Finanzierung in Höhe von 95 Millionen Euro zum Glasfaserausbau.</w:t>
                  </w:r>
                  <w:r>
                    <w:rPr>
                      <w:lang w:val="de-DE"/>
                      <w:u w:val="none"/>
                    </w:rPr>
                    <w:br/>
                  </w:r>
                  <w:r>
                    <w:rPr>
                      <w:lang w:val="de-DE"/>
                      <w:u w:val="none"/>
                    </w:rPr>
                    <w:br/>
                  </w:r>
                  <w:r>
                    <w:rPr>
                      <w:lang w:val="de-DE"/>
                      <w:rFonts w:ascii="Georgia" w:hAnsi="Georgia" w:cs="Georgia"/>
                      <w:u w:val="none"/>
                      <w:sz w:val="24"/>
                      <w:szCs w:val="24"/>
                      <w:color w:val="000000"/>
                    </w:rPr>
                    <w:t>Beratung von EB - Sustainable Investment Management (EB-SIM) und der LHI Gruppe beim Erwerb des schwedischen Windparkprojekts Aldermyrberget.</w:t>
                  </w:r>
                  <w:r>
                    <w:rPr>
                      <w:lang w:val="de-DE"/>
                      <w:u w:val="none"/>
                    </w:rPr>
                    <w:br/>
                  </w:r>
                  <w:r>
                    <w:rPr>
                      <w:lang w:val="de-DE"/>
                      <w:u w:val="none"/>
                    </w:rPr>
                    <w:br/>
                  </w:r>
                  <w:r>
                    <w:rPr>
                      <w:lang w:val="de-DE"/>
                      <w:rFonts w:ascii="Georgia" w:hAnsi="Georgia" w:cs="Georgia"/>
                      <w:u w:val="none"/>
                      <w:sz w:val="24"/>
                      <w:szCs w:val="24"/>
                      <w:color w:val="000000"/>
                    </w:rPr>
                    <w:t>Beratung der Berenberg Green Energy Junior Debt Funds bei der Portfolio-Finanzierung von Solarparks in Italien und Chile.</w:t>
                  </w:r>
                  <w:r>
                    <w:rPr>
                      <w:lang w:val="de-DE"/>
                      <w:u w:val="none"/>
                    </w:rPr>
                    <w:br/>
                  </w:r>
                  <w:r>
                    <w:rPr>
                      <w:lang w:val="de-DE"/>
                      <w:u w:val="none"/>
                    </w:rPr>
                    <w:br/>
                  </w:r>
                  <w:r>
                    <w:rPr>
                      <w:lang w:val="de-DE"/>
                      <w:rFonts w:ascii="Georgia" w:hAnsi="Georgia" w:cs="Georgia"/>
                      <w:u w:val="none"/>
                      <w:sz w:val="24"/>
                      <w:szCs w:val="24"/>
                      <w:color w:val="000000"/>
                    </w:rPr>
                    <w:t>Beratung des Göttinger Glasfaserunternehmens goetel GmbH bei einer Konsortialdarlehensfinanzierung in Höhe von 345 Millionen Euro.</w:t>
                  </w:r>
                  <w:r>
                    <w:rPr>
                      <w:lang w:val="de-DE"/>
                      <w:u w:val="none"/>
                    </w:rPr>
                    <w:br/>
                  </w:r>
                  <w:r>
                    <w:rPr>
                      <w:lang w:val="de-DE"/>
                      <w:u w:val="none"/>
                    </w:rPr>
                    <w:br/>
                  </w:r>
                  <w:r>
                    <w:rPr>
                      <w:lang w:val="de-DE"/>
                      <w:rFonts w:ascii="Georgia" w:hAnsi="Georgia" w:cs="Georgia"/>
                      <w:u w:val="none"/>
                      <w:sz w:val="24"/>
                      <w:szCs w:val="24"/>
                      <w:color w:val="000000"/>
                    </w:rPr>
                    <w:t>Beratung der Statkraft bei der Übernahme des Breeze Three Portfolios mit Onshore-Windanlagen in Deutschland und Frankreich mit einer Gesamtkapazität von über 350 MW.</w:t>
                  </w:r>
                  <w:r>
                    <w:rPr>
                      <w:lang w:val="de-DE"/>
                      <w:u w:val="none"/>
                    </w:rPr>
                    <w:br/>
                  </w:r>
                  <w:r>
                    <w:rPr>
                      <w:lang w:val="de-DE"/>
                      <w:u w:val="none"/>
                    </w:rPr>
                    <w:br/>
                  </w:r>
                  <w:r>
                    <w:rPr>
                      <w:lang w:val="de-DE"/>
                      <w:rFonts w:ascii="Georgia" w:hAnsi="Georgia" w:cs="Georgia"/>
                      <w:u w:val="none"/>
                      <w:sz w:val="24"/>
                      <w:szCs w:val="24"/>
                      <w:color w:val="000000"/>
                    </w:rPr>
                    <w:t>Beratung der Encavis AG beim Erwerb des 21,5 MW Windparks Paltusmäki in Finnland.</w:t>
                  </w:r>
                  <w:r>
                    <w:rPr>
                      <w:lang w:val="de-DE"/>
                      <w:u w:val="none"/>
                    </w:rPr>
                    <w:br/>
                  </w:r>
                  <w:r>
                    <w:rPr>
                      <w:lang w:val="de-DE"/>
                      <w:u w:val="none"/>
                    </w:rPr>
                    <w:br/>
                  </w:r>
                  <w:r>
                    <w:rPr>
                      <w:lang w:val="de-DE"/>
                      <w:rFonts w:ascii="Georgia" w:hAnsi="Georgia" w:cs="Georgia"/>
                      <w:u w:val="none"/>
                      <w:sz w:val="24"/>
                      <w:szCs w:val="24"/>
                      <w:color w:val="000000"/>
                    </w:rPr>
                    <w:t>Beratung von Berenberg Green Energy Junior Debt Funds bei der Finanzierung von Projekten im Bereich erneuerbare Energien in Finnland und Spanien.</w:t>
                  </w:r>
                  <w:r>
                    <w:rPr>
                      <w:lang w:val="de-DE"/>
                      <w:u w:val="none"/>
                    </w:rPr>
                    <w:br/>
                  </w:r>
                  <w:r>
                    <w:rPr>
                      <w:lang w:val="de-DE"/>
                      <w:u w:val="none"/>
                    </w:rPr>
                    <w:br/>
                  </w:r>
                  <w:r>
                    <w:rPr>
                      <w:lang w:val="de-DE"/>
                      <w:rFonts w:ascii="Georgia" w:hAnsi="Georgia" w:cs="Georgia"/>
                      <w:u w:val="none"/>
                      <w:sz w:val="24"/>
                      <w:szCs w:val="24"/>
                      <w:color w:val="000000"/>
                    </w:rPr>
                    <w:t>Beratung des deutschen Glasfaseranbieters Stiegeler beim Abschluss eines Finanzierungspakets in Höhe von 58 Millionen Euro für den FTTH-Ausbau.</w:t>
                  </w:r>
                  <w:r>
                    <w:rPr>
                      <w:lang w:val="de-DE"/>
                      <w:u w:val="none"/>
                    </w:rPr>
                    <w:br/>
                  </w:r>
                  <w:r>
                    <w:rPr>
                      <w:lang w:val="de-DE"/>
                      <w:u w:val="none"/>
                    </w:rPr>
                    <w:br/>
                  </w:r>
                  <w:r>
                    <w:rPr>
                      <w:lang w:val="de-DE"/>
                      <w:rFonts w:ascii="Georgia" w:hAnsi="Georgia" w:cs="Georgia"/>
                      <w:u w:val="none"/>
                      <w:sz w:val="24"/>
                      <w:szCs w:val="24"/>
                      <w:color w:val="000000"/>
                    </w:rPr>
                    <w:t>Beratung der Sponsoren bei dem erfolgreichen Bieterprozess und Financial Close für das Umm Al-Hayman PPP Projekt in Kuwait, eines der größten und komplexesten Abwasserprojekte weltweit.</w:t>
                  </w:r>
                  <w:r>
                    <w:rPr>
                      <w:lang w:val="de-DE"/>
                      <w:u w:val="none"/>
                    </w:rPr>
                    <w:br/>
                  </w:r>
                  <w:r>
                    <w:rPr>
                      <w:lang w:val="de-DE"/>
                      <w:u w:val="none"/>
                    </w:rPr>
                    <w:br/>
                  </w:r>
                  <w:r>
                    <w:rPr>
                      <w:lang w:val="de-DE"/>
                      <w:rFonts w:ascii="Georgia" w:hAnsi="Georgia" w:cs="Georgia"/>
                      <w:u w:val="none"/>
                      <w:sz w:val="24"/>
                      <w:szCs w:val="24"/>
                      <w:color w:val="000000"/>
                    </w:rPr>
                    <w:t>Beratung der EIB und der LBBW bei der Finanzierung von vier Windparks mit einer Gesamtleistung von 102,5 MW in Polen.</w:t>
                  </w:r>
                  <w:r>
                    <w:rPr>
                      <w:lang w:val="de-DE"/>
                      <w:u w:val="none"/>
                    </w:rPr>
                    <w:br/>
                  </w:r>
                  <w:r>
                    <w:rPr>
                      <w:lang w:val="de-DE"/>
                      <w:u w:val="none"/>
                    </w:rPr>
                    <w:br/>
                  </w:r>
                  <w:r>
                    <w:rPr>
                      <w:lang w:val="de-DE"/>
                      <w:rFonts w:ascii="Georgia" w:hAnsi="Georgia" w:cs="Georgia"/>
                      <w:u w:val="none"/>
                      <w:sz w:val="24"/>
                      <w:szCs w:val="24"/>
                      <w:color w:val="000000"/>
                    </w:rPr>
                    <w:t>Beratung der Hamburg Commercial Bank bei der Projektfinanzierung des schwedischen Onshore-Windparks Målarberget mit 27 Vestas-Windturbinen und 113 MW Nennleistung.</w:t>
                  </w:r>
                  <w:r>
                    <w:rPr>
                      <w:lang w:val="de-DE"/>
                      <w:u w:val="none"/>
                    </w:rPr>
                    <w:br/>
                  </w:r>
                  <w:r>
                    <w:rPr>
                      <w:lang w:val="de-DE"/>
                      <w:u w:val="none"/>
                    </w:rPr>
                    <w:br/>
                  </w:r>
                  <w:r>
                    <w:rPr>
                      <w:lang w:val="de-DE"/>
                      <w:rFonts w:ascii="Georgia" w:hAnsi="Georgia" w:cs="Georgia"/>
                      <w:u w:val="none"/>
                      <w:sz w:val="24"/>
                      <w:szCs w:val="24"/>
                      <w:color w:val="000000"/>
                    </w:rPr>
                    <w:t>Beratung von Silenos bei der Projektfinanzierung des Geothermie-Kraftwerks „Bruck“ in Süddeutschland.</w:t>
                  </w:r>
                  <w:r>
                    <w:rPr>
                      <w:lang w:val="de-DE"/>
                      <w:u w:val="none"/>
                    </w:rPr>
                    <w:br/>
                  </w:r>
                  <w:r>
                    <w:rPr>
                      <w:lang w:val="de-DE"/>
                      <w:u w:val="none"/>
                    </w:rPr>
                    <w:br/>
                  </w:r>
                  <w:r>
                    <w:rPr>
                      <w:lang w:val="de-DE"/>
                      <w:rFonts w:ascii="Georgia" w:hAnsi="Georgia" w:cs="Georgia"/>
                      <w:u w:val="none"/>
                      <w:sz w:val="24"/>
                      <w:szCs w:val="24"/>
                      <w:color w:val="000000"/>
                    </w:rPr>
                    <w:t>Beratung der Northland Power Inc. und Yushan Energy Company Ltd. bei der Projektentwicklung des Offshore-Windparks Hai Long in Taiwan.</w:t>
                  </w:r>
                  <w:r>
                    <w:rPr>
                      <w:lang w:val="de-DE"/>
                      <w:u w:val="none"/>
                    </w:rPr>
                    <w:br/>
                  </w:r>
                  <w:r>
                    <w:rPr>
                      <w:lang w:val="de-DE"/>
                      <w:u w:val="none"/>
                    </w:rPr>
                    <w:br/>
                  </w:r>
                  <w:r>
                    <w:rPr>
                      <w:lang w:val="de-DE"/>
                      <w:rFonts w:ascii="Georgia" w:hAnsi="Georgia" w:cs="Georgia"/>
                      <w:u w:val="none"/>
                      <w:sz w:val="24"/>
                      <w:szCs w:val="24"/>
                      <w:color w:val="000000"/>
                    </w:rPr>
                    <w:t>Beratung des Starwind-Konsortiums bei der Projektfinanzierung des Offshore-Windparks Yunlin.</w:t>
                  </w:r>
                  <w:r>
                    <w:rPr>
                      <w:lang w:val="de-DE"/>
                      <w:u w:val="none"/>
                    </w:rPr>
                    <w:br/>
                  </w:r>
                  <w:r>
                    <w:rPr>
                      <w:lang w:val="de-DE"/>
                      <w:u w:val="none"/>
                    </w:rPr>
                    <w:br/>
                  </w:r>
                  <w:r>
                    <w:rPr>
                      <w:lang w:val="de-DE"/>
                      <w:rFonts w:ascii="Georgia" w:hAnsi="Georgia" w:cs="Georgia"/>
                      <w:u w:val="none"/>
                      <w:sz w:val="24"/>
                      <w:szCs w:val="24"/>
                      <w:color w:val="000000"/>
                    </w:rPr>
                    <w:t>Beratung von Northland Power bei der Akquisition und Projektfinanzierung des Offshore-Windparks Deutsche Bucht.</w:t>
                  </w:r>
                  <w:r>
                    <w:rPr>
                      <w:lang w:val="de-DE"/>
                      <w:u w:val="none"/>
                    </w:rPr>
                    <w:br/>
                  </w:r>
                  <w:r>
                    <w:rPr>
                      <w:lang w:val="de-DE"/>
                      <w:u w:val="none"/>
                    </w:rPr>
                    <w:br/>
                  </w:r>
                  <w:r>
                    <w:rPr>
                      <w:lang w:val="de-DE"/>
                      <w:rFonts w:ascii="Georgia" w:hAnsi="Georgia" w:cs="Georgia"/>
                      <w:u w:val="none"/>
                      <w:sz w:val="24"/>
                      <w:szCs w:val="24"/>
                      <w:color w:val="000000"/>
                    </w:rPr>
                    <w:t>Beratung des Offshore-Windparks Merkur bei der Projektfinanzierung.</w:t>
                  </w:r>
                  <w:r>
                    <w:rPr>
                      <w:lang w:val="de-DE"/>
                      <w:u w:val="none"/>
                    </w:rPr>
                    <w:br/>
                  </w:r>
                  <w:r>
                    <w:rPr>
                      <w:lang w:val="de-DE"/>
                      <w:u w:val="none"/>
                    </w:rPr>
                    <w:br/>
                  </w:r>
                  <w:r>
                    <w:rPr>
                      <w:lang w:val="de-DE"/>
                      <w:rFonts w:ascii="Georgia" w:hAnsi="Georgia" w:cs="Georgia"/>
                      <w:u w:val="none"/>
                      <w:sz w:val="24"/>
                      <w:szCs w:val="24"/>
                      <w:color w:val="000000"/>
                    </w:rPr>
                    <w:t>Beratung der DZ BANK AG bei der Finanzierung des Repowering Projekts „Windpark Halenbeck-Warnsdorf“ im brandenburgischen Landkreis Prignitz.</w:t>
                  </w:r>
                  <w:r>
                    <w:rPr>
                      <w:lang w:val="de-DE"/>
                      <w:u w:val="none"/>
                    </w:rPr>
                    <w:br/>
                  </w:r>
                  <w:r>
                    <w:rPr>
                      <w:lang w:val="de-DE"/>
                      <w:u w:val="none"/>
                    </w:rPr>
                    <w:br/>
                  </w:r>
                  <w:r>
                    <w:rPr>
                      <w:lang w:val="de-DE"/>
                      <w:rFonts w:ascii="Georgia" w:hAnsi="Georgia" w:cs="Georgia"/>
                      <w:u w:val="none"/>
                      <w:sz w:val="24"/>
                      <w:szCs w:val="24"/>
                      <w:color w:val="000000"/>
                    </w:rPr>
                    <w:t>Beratung der DZ Bank AG bei der Leasing-Finanzierung zur Errichtung eines Speditionszentrums.</w:t>
                  </w:r>
                  <w:r>
                    <w:rPr>
                      <w:lang w:val="de-DE"/>
                      <w:u w:val="none"/>
                    </w:rPr>
                    <w:br/>
                  </w:r>
                  <w:r>
                    <w:rPr>
                      <w:lang w:val="de-DE"/>
                      <w:u w:val="none"/>
                    </w:rPr>
                    <w:br/>
                  </w:r>
                  <w:r>
                    <w:rPr>
                      <w:lang w:val="de-DE"/>
                      <w:rFonts w:ascii="Georgia" w:hAnsi="Georgia" w:cs="Georgia"/>
                      <w:u w:val="none"/>
                      <w:sz w:val="24"/>
                      <w:szCs w:val="24"/>
                      <w:color w:val="000000"/>
                    </w:rPr>
                    <w:t>Beratung der Nord/LB bei der Finanzierung eines Onshore-Windparks in Schweden.</w:t>
                  </w:r>
                  <w:r>
                    <w:rPr>
                      <w:lang w:val="de-DE"/>
                      <w:u w:val="none"/>
                    </w:rPr>
                    <w:br/>
                  </w:r>
                  <w:r>
                    <w:rPr>
                      <w:lang w:val="de-DE"/>
                      <w:u w:val="none"/>
                    </w:rPr>
                    <w:br/>
                  </w:r>
                  <w:r>
                    <w:rPr>
                      <w:lang w:val="de-DE"/>
                      <w:rFonts w:ascii="Georgia" w:hAnsi="Georgia" w:cs="Georgia"/>
                      <w:u w:val="none"/>
                      <w:sz w:val="24"/>
                      <w:szCs w:val="24"/>
                      <w:color w:val="000000"/>
                    </w:rPr>
                    <w:t>Beratung von Kreditgebern bei der Finanzierung von Onshore-Windparks in Schweden, Dänemark und anderen nordischen Ländern.</w:t>
                  </w:r>
                  <w:r>
                    <w:rPr>
                      <w:lang w:val="de-DE"/>
                      <w:u w:val="none"/>
                    </w:rPr>
                    <w:br/>
                  </w:r>
                  <w:r>
                    <w:rPr>
                      <w:lang w:val="de-DE"/>
                      <w:u w:val="none"/>
                    </w:rPr>
                    <w:br/>
                  </w:r>
                  <w:r>
                    <w:rPr>
                      <w:lang w:val="de-DE"/>
                      <w:rFonts w:ascii="Georgia" w:hAnsi="Georgia" w:cs="Georgia"/>
                      <w:u w:val="none"/>
                      <w:sz w:val="24"/>
                      <w:szCs w:val="24"/>
                      <w:color w:val="000000"/>
                    </w:rPr>
                    <w:t>Beratung der HSH Nordbank AG (jetzt Hamburg Commercial Bank AG) bei der Finanzierung eines Onshore-Windparks in Irland.</w:t>
                  </w:r>
                  <w:r>
                    <w:rPr>
                      <w:lang w:val="de-DE"/>
                      <w:u w:val="none"/>
                    </w:rPr>
                    <w:br/>
                  </w:r>
                  <w:r>
                    <w:rPr>
                      <w:lang w:val="de-DE"/>
                      <w:u w:val="none"/>
                    </w:rPr>
                    <w:br/>
                  </w:r>
                  <w:r>
                    <w:rPr>
                      <w:lang w:val="de-DE"/>
                      <w:rFonts w:ascii="Georgia" w:hAnsi="Georgia" w:cs="Georgia"/>
                      <w:u w:val="none"/>
                      <w:sz w:val="24"/>
                      <w:szCs w:val="24"/>
                      <w:color w:val="000000"/>
                    </w:rPr>
                    <w:t>Beratung der Dekabank bei der Refinanzierung des PPP Projekts Zeughausareal Burgdorf in der Schweiz.</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de-DE"/>
                      <w:rFonts w:ascii="Calibri" w:hAnsi="Calibri" w:cs="Calibri"/>
                      <w:u w:val="none"/>
                      <w:sz w:val="40"/>
                      <w:szCs w:val="40"/>
                      <w:color w:val="58A618"/>
                    </w:rPr>
                    <w:t>Auszeichnungen &amp;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Energy Lawyer of the Year, </w:t>
                  </w:r>
                  <w:r>
                    <w:rPr>
                      <w:lang w:val="de-DE"/>
                      <w:rFonts w:ascii="Georgia" w:hAnsi="Georgia" w:cs="Georgia"/>
                      <w:i/>
                      <w:u w:val="none"/>
                      <w:sz w:val="24"/>
                      <w:szCs w:val="24"/>
                      <w:color w:val="000000"/>
                    </w:rPr>
                    <w:t>Legal 500 Deutschland</w:t>
                  </w:r>
                  <w:r>
                    <w:rPr>
                      <w:rFonts w:ascii="Georgia" w:hAnsi="Georgia" w:cs="Georgia"/>
                      <w:sz w:val="24"/>
                      <w:szCs w:val="24"/>
                    </w:rPr>
                    <w:t>, 2025</w:t>
                  </w:r>
                </w:p>
              </w:tc>
            </w:tr>
            <w:tr>
              <w:tc>
                <w:tcPr>
                  <w:tcW w:w="5846.4" w:type="dxa"/>
                </w:tcPr>
                <w:p>
                  <w:pPr/>
                </w:p>
                <w:p>
                  <w:pPr>
                    <w:numPr>
                      <w:ilvl w:val="0"/>
                      <w:numId w:val="5"/>
                    </w:numPr>
                    <w:spacing w:after="0"/>
                  </w:pPr>
                  <w:r>
                    <w:rPr>
                      <w:rFonts w:ascii="Georgia" w:hAnsi="Georgia" w:cs="Georgia"/>
                      <w:sz w:val="24"/>
                      <w:szCs w:val="24"/>
                    </w:rPr>
                    <w:t xml:space="preserve">Innovative Markets &amp; Technology Deal and Deal of the Year: Tyligulska Wind Power Plant in Ukraine, </w:t>
                  </w:r>
                  <w:r>
                    <w:rPr>
                      <w:lang w:val="de-DE"/>
                      <w:rFonts w:ascii="Georgia" w:hAnsi="Georgia" w:cs="Georgia"/>
                      <w:i/>
                      <w:u w:val="none"/>
                      <w:sz w:val="24"/>
                      <w:szCs w:val="24"/>
                      <w:color w:val="000000"/>
                    </w:rPr>
                    <w:t>Inspiratia’s Europe Energy Transition Award</w:t>
                  </w:r>
                  <w:r>
                    <w:rPr>
                      <w:rFonts w:ascii="Georgia" w:hAnsi="Georgia" w:cs="Georgia"/>
                      <w:sz w:val="24"/>
                      <w:szCs w:val="24"/>
                    </w:rPr>
                    <w:t>, 2025</w:t>
                  </w:r>
                </w:p>
              </w:tc>
            </w:tr>
            <w:tr>
              <w:tc>
                <w:tcPr>
                  <w:tcW w:w="5846.4" w:type="dxa"/>
                </w:tcPr>
                <w:p>
                  <w:pPr/>
                </w:p>
                <w:p>
                  <w:pPr>
                    <w:numPr>
                      <w:ilvl w:val="0"/>
                      <w:numId w:val="6"/>
                    </w:numPr>
                    <w:spacing w:after="0"/>
                  </w:pPr>
                  <w:r>
                    <w:rPr>
                      <w:rFonts w:ascii="Georgia" w:hAnsi="Georgia" w:cs="Georgia"/>
                      <w:sz w:val="24"/>
                      <w:szCs w:val="24"/>
                    </w:rPr>
                    <w:t xml:space="preserve">Empfohlene Anwältin für Projekte - Band 1, </w:t>
                  </w:r>
                  <w:r>
                    <w:rPr>
                      <w:lang w:val="de-DE"/>
                      <w:rFonts w:ascii="Georgia" w:hAnsi="Georgia" w:cs="Georgia"/>
                      <w:i/>
                      <w:u w:val="none"/>
                      <w:sz w:val="24"/>
                      <w:szCs w:val="24"/>
                      <w:color w:val="000000"/>
                    </w:rPr>
                    <w:t>Chambers Germany</w:t>
                  </w:r>
                  <w:r>
                    <w:rPr>
                      <w:rFonts w:ascii="Georgia" w:hAnsi="Georgia" w:cs="Georgia"/>
                      <w:sz w:val="24"/>
                      <w:szCs w:val="24"/>
                    </w:rPr>
                    <w:t>, 2025</w:t>
                  </w:r>
                </w:p>
              </w:tc>
            </w:tr>
            <w:tr>
              <w:tc>
                <w:tcPr>
                  <w:tcW w:w="5846.4" w:type="dxa"/>
                </w:tcPr>
                <w:p>
                  <w:pPr/>
                </w:p>
                <w:p>
                  <w:pPr>
                    <w:numPr>
                      <w:ilvl w:val="0"/>
                      <w:numId w:val="7"/>
                    </w:numPr>
                    <w:spacing w:after="0"/>
                  </w:pPr>
                  <w:r>
                    <w:rPr>
                      <w:rFonts w:ascii="Georgia" w:hAnsi="Georgia" w:cs="Georgia"/>
                      <w:sz w:val="24"/>
                      <w:szCs w:val="24"/>
                    </w:rPr>
                    <w:t xml:space="preserve">Leading Partner – Energy, </w:t>
                  </w:r>
                  <w:r>
                    <w:rPr>
                      <w:lang w:val="de-DE"/>
                      <w:rFonts w:ascii="Georgia" w:hAnsi="Georgia" w:cs="Georgia"/>
                      <w:i/>
                      <w:u w:val="none"/>
                      <w:sz w:val="24"/>
                      <w:szCs w:val="24"/>
                      <w:color w:val="000000"/>
                    </w:rPr>
                    <w:t>Legal 500 Deutschland</w:t>
                  </w:r>
                  <w:r>
                    <w:rPr>
                      <w:rFonts w:ascii="Georgia" w:hAnsi="Georgia" w:cs="Georgia"/>
                      <w:sz w:val="24"/>
                      <w:szCs w:val="24"/>
                    </w:rPr>
                    <w:t>, 2025</w:t>
                  </w:r>
                </w:p>
              </w:tc>
            </w:tr>
            <w:tr>
              <w:tc>
                <w:tcPr>
                  <w:tcW w:w="5846.4" w:type="dxa"/>
                </w:tcPr>
                <w:p>
                  <w:pPr/>
                </w:p>
                <w:p>
                  <w:pPr>
                    <w:numPr>
                      <w:ilvl w:val="0"/>
                      <w:numId w:val="8"/>
                    </w:numPr>
                    <w:spacing w:after="0"/>
                  </w:pPr>
                  <w:r>
                    <w:rPr>
                      <w:rFonts w:ascii="Georgia" w:hAnsi="Georgia" w:cs="Georgia"/>
                      <w:sz w:val="24"/>
                      <w:szCs w:val="24"/>
                    </w:rPr>
                    <w:t xml:space="preserve">Leading Partner – Project Finance, </w:t>
                  </w:r>
                  <w:r>
                    <w:rPr>
                      <w:lang w:val="de-DE"/>
                      <w:rFonts w:ascii="Georgia" w:hAnsi="Georgia" w:cs="Georgia"/>
                      <w:i/>
                      <w:u w:val="none"/>
                      <w:sz w:val="24"/>
                      <w:szCs w:val="24"/>
                      <w:color w:val="000000"/>
                    </w:rPr>
                    <w:t>Legal 500 Deutschland</w:t>
                  </w:r>
                  <w:r>
                    <w:rPr>
                      <w:rFonts w:ascii="Georgia" w:hAnsi="Georgia" w:cs="Georgia"/>
                      <w:sz w:val="24"/>
                      <w:szCs w:val="24"/>
                    </w:rPr>
                    <w:t>, 2025</w:t>
                  </w:r>
                </w:p>
              </w:tc>
            </w:tr>
            <w:tr>
              <w:tc>
                <w:tcPr>
                  <w:tcW w:w="5846.4" w:type="dxa"/>
                </w:tcPr>
                <w:p>
                  <w:pPr/>
                </w:p>
                <w:p>
                  <w:pPr>
                    <w:numPr>
                      <w:ilvl w:val="0"/>
                      <w:numId w:val="9"/>
                    </w:numPr>
                    <w:spacing w:after="0"/>
                  </w:pPr>
                  <w:r>
                    <w:rPr>
                      <w:rFonts w:ascii="Georgia" w:hAnsi="Georgia" w:cs="Georgia"/>
                      <w:sz w:val="24"/>
                      <w:szCs w:val="24"/>
                    </w:rPr>
                    <w:t xml:space="preserve">Empfohlene Anwältin für Banking &amp; Finance: Lending &amp; Borrowing, </w:t>
                  </w:r>
                  <w:r>
                    <w:rPr>
                      <w:lang w:val="de-DE"/>
                      <w:rFonts w:ascii="Georgia" w:hAnsi="Georgia" w:cs="Georgia"/>
                      <w:i/>
                      <w:u w:val="none"/>
                      <w:sz w:val="24"/>
                      <w:szCs w:val="24"/>
                      <w:color w:val="000000"/>
                    </w:rPr>
                    <w:t>Legal 500 Deutschland</w:t>
                  </w:r>
                  <w:r>
                    <w:rPr>
                      <w:rFonts w:ascii="Georgia" w:hAnsi="Georgia" w:cs="Georgia"/>
                      <w:sz w:val="24"/>
                      <w:szCs w:val="24"/>
                    </w:rPr>
                    <w:t>, 2025</w:t>
                  </w:r>
                </w:p>
              </w:tc>
            </w:tr>
            <w:tr>
              <w:tc>
                <w:tcPr>
                  <w:tcW w:w="5846.4" w:type="dxa"/>
                </w:tcPr>
                <w:p>
                  <w:pPr/>
                </w:p>
                <w:p>
                  <w:pPr>
                    <w:numPr>
                      <w:ilvl w:val="0"/>
                      <w:numId w:val="10"/>
                    </w:numPr>
                    <w:spacing w:after="0"/>
                  </w:pPr>
                  <w:r>
                    <w:rPr>
                      <w:rFonts w:ascii="Georgia" w:hAnsi="Georgia" w:cs="Georgia"/>
                      <w:sz w:val="24"/>
                      <w:szCs w:val="24"/>
                    </w:rPr>
                    <w:t xml:space="preserve">Oft empfohlen für Energie: Deals/Finanzierung/Projekte, </w:t>
                  </w:r>
                  <w:r>
                    <w:rPr>
                      <w:lang w:val="de-DE"/>
                      <w:rFonts w:ascii="Georgia" w:hAnsi="Georgia" w:cs="Georgia"/>
                      <w:i/>
                      <w:u w:val="none"/>
                      <w:sz w:val="24"/>
                      <w:szCs w:val="24"/>
                      <w:color w:val="000000"/>
                    </w:rPr>
                    <w:t>JUVE Handuch</w:t>
                  </w:r>
                  <w:r>
                    <w:rPr>
                      <w:rFonts w:ascii="Georgia" w:hAnsi="Georgia" w:cs="Georgia"/>
                      <w:sz w:val="24"/>
                      <w:szCs w:val="24"/>
                    </w:rPr>
                    <w:t>, 2025/2026</w:t>
                  </w:r>
                </w:p>
              </w:tc>
            </w:tr>
            <w:tr>
              <w:tc>
                <w:tcPr>
                  <w:tcW w:w="5846.4" w:type="dxa"/>
                </w:tcPr>
                <w:p>
                  <w:pPr/>
                </w:p>
                <w:p>
                  <w:pPr>
                    <w:numPr>
                      <w:ilvl w:val="0"/>
                      <w:numId w:val="11"/>
                    </w:numPr>
                    <w:spacing w:after="0"/>
                  </w:pPr>
                  <w:r>
                    <w:rPr>
                      <w:rFonts w:ascii="Georgia" w:hAnsi="Georgia" w:cs="Georgia"/>
                      <w:sz w:val="24"/>
                      <w:szCs w:val="24"/>
                    </w:rPr>
                    <w:t xml:space="preserve">Oft empfohlen für Kredite und Akquisitionsfinanzierung, </w:t>
                  </w:r>
                  <w:r>
                    <w:rPr>
                      <w:lang w:val="de-DE"/>
                      <w:rFonts w:ascii="Georgia" w:hAnsi="Georgia" w:cs="Georgia"/>
                      <w:i/>
                      <w:u w:val="none"/>
                      <w:sz w:val="24"/>
                      <w:szCs w:val="24"/>
                      <w:color w:val="000000"/>
                    </w:rPr>
                    <w:t>JUVE Handuch</w:t>
                  </w:r>
                  <w:r>
                    <w:rPr>
                      <w:rFonts w:ascii="Georgia" w:hAnsi="Georgia" w:cs="Georgia"/>
                      <w:sz w:val="24"/>
                      <w:szCs w:val="24"/>
                    </w:rPr>
                    <w:t>, 2025/2026</w:t>
                  </w:r>
                </w:p>
              </w:tc>
            </w:tr>
            <w:tr>
              <w:tc>
                <w:tcPr>
                  <w:tcW w:w="5846.4" w:type="dxa"/>
                </w:tcPr>
                <w:p>
                  <w:pPr/>
                </w:p>
                <w:p>
                  <w:pPr>
                    <w:numPr>
                      <w:ilvl w:val="0"/>
                      <w:numId w:val="12"/>
                    </w:numPr>
                    <w:spacing w:after="0"/>
                  </w:pPr>
                  <w:r>
                    <w:rPr>
                      <w:rFonts w:ascii="Georgia" w:hAnsi="Georgia" w:cs="Georgia"/>
                      <w:sz w:val="24"/>
                      <w:szCs w:val="24"/>
                    </w:rPr>
                    <w:t xml:space="preserve">Project Finance Deal of the Year: Baltic Power Offshore Wind Project, </w:t>
                  </w:r>
                  <w:r>
                    <w:rPr>
                      <w:lang w:val="de-DE"/>
                      <w:rFonts w:ascii="Georgia" w:hAnsi="Georgia" w:cs="Georgia"/>
                      <w:i/>
                      <w:u w:val="none"/>
                      <w:sz w:val="24"/>
                      <w:szCs w:val="24"/>
                      <w:color w:val="000000"/>
                    </w:rPr>
                    <w:t>IFLR Europe Award</w:t>
                  </w:r>
                  <w:r>
                    <w:rPr>
                      <w:rFonts w:ascii="Georgia" w:hAnsi="Georgia" w:cs="Georgia"/>
                      <w:sz w:val="24"/>
                      <w:szCs w:val="24"/>
                    </w:rPr>
                    <w:t>, 2024</w:t>
                  </w:r>
                </w:p>
              </w:tc>
            </w:tr>
            <w:tr>
              <w:tc>
                <w:tcPr>
                  <w:tcW w:w="5846.4" w:type="dxa"/>
                </w:tcPr>
                <w:p>
                  <w:pPr/>
                </w:p>
                <w:p>
                  <w:pPr>
                    <w:numPr>
                      <w:ilvl w:val="0"/>
                      <w:numId w:val="13"/>
                    </w:numPr>
                    <w:spacing w:after="0"/>
                  </w:pPr>
                  <w:r>
                    <w:rPr>
                      <w:rFonts w:ascii="Georgia" w:hAnsi="Georgia" w:cs="Georgia"/>
                      <w:sz w:val="24"/>
                      <w:szCs w:val="24"/>
                    </w:rPr>
                    <w:t xml:space="preserve">Europe Deal of the Year: Baltic Power, </w:t>
                  </w:r>
                  <w:r>
                    <w:rPr>
                      <w:lang w:val="de-DE"/>
                      <w:rFonts w:ascii="Georgia" w:hAnsi="Georgia" w:cs="Georgia"/>
                      <w:i/>
                      <w:u w:val="none"/>
                      <w:sz w:val="24"/>
                      <w:szCs w:val="24"/>
                      <w:color w:val="000000"/>
                    </w:rPr>
                    <w:t>PFI Award</w:t>
                  </w:r>
                  <w:r>
                    <w:rPr>
                      <w:rFonts w:ascii="Georgia" w:hAnsi="Georgia" w:cs="Georgia"/>
                      <w:sz w:val="24"/>
                      <w:szCs w:val="24"/>
                    </w:rPr>
                    <w:t>, 2023</w:t>
                  </w:r>
                </w:p>
              </w:tc>
            </w:tr>
            <w:tr>
              <w:tc>
                <w:tcPr>
                  <w:tcW w:w="5846.4" w:type="dxa"/>
                </w:tcPr>
                <w:p>
                  <w:pPr/>
                </w:p>
                <w:p>
                  <w:pPr>
                    <w:numPr>
                      <w:ilvl w:val="0"/>
                      <w:numId w:val="14"/>
                    </w:numPr>
                    <w:spacing w:after="0"/>
                  </w:pPr>
                  <w:r>
                    <w:rPr>
                      <w:rFonts w:ascii="Georgia" w:hAnsi="Georgia" w:cs="Georgia"/>
                      <w:sz w:val="24"/>
                      <w:szCs w:val="24"/>
                    </w:rPr>
                    <w:t xml:space="preserve">Digital Infrastructure Deal of the Year: Maincubes, </w:t>
                  </w:r>
                  <w:r>
                    <w:rPr>
                      <w:lang w:val="de-DE"/>
                      <w:rFonts w:ascii="Georgia" w:hAnsi="Georgia" w:cs="Georgia"/>
                      <w:i/>
                      <w:u w:val="none"/>
                      <w:sz w:val="24"/>
                      <w:szCs w:val="24"/>
                      <w:color w:val="000000"/>
                    </w:rPr>
                    <w:t>IJGlobal Award</w:t>
                  </w:r>
                  <w:r>
                    <w:rPr>
                      <w:rFonts w:ascii="Georgia" w:hAnsi="Georgia" w:cs="Georgia"/>
                      <w:sz w:val="24"/>
                      <w:szCs w:val="24"/>
                    </w:rPr>
                    <w:t>, 2023</w:t>
                  </w:r>
                </w:p>
              </w:tc>
            </w:tr>
            <w:tr>
              <w:tc>
                <w:tcPr>
                  <w:tcW w:w="5846.4" w:type="dxa"/>
                </w:tcPr>
                <w:p>
                  <w:pPr/>
                </w:p>
                <w:p>
                  <w:pPr>
                    <w:numPr>
                      <w:ilvl w:val="0"/>
                      <w:numId w:val="15"/>
                    </w:numPr>
                    <w:spacing w:after="0"/>
                  </w:pPr>
                  <w:r>
                    <w:rPr>
                      <w:rFonts w:ascii="Georgia" w:hAnsi="Georgia" w:cs="Georgia"/>
                      <w:sz w:val="24"/>
                      <w:szCs w:val="24"/>
                    </w:rPr>
                    <w:t xml:space="preserve">Renewable Energy Deal of the Year: Baltic Power, </w:t>
                  </w:r>
                  <w:r>
                    <w:rPr>
                      <w:lang w:val="de-DE"/>
                      <w:rFonts w:ascii="Georgia" w:hAnsi="Georgia" w:cs="Georgia"/>
                      <w:i/>
                      <w:u w:val="none"/>
                      <w:sz w:val="24"/>
                      <w:szCs w:val="24"/>
                      <w:color w:val="000000"/>
                    </w:rPr>
                    <w:t>IJGlobal Award</w:t>
                  </w:r>
                  <w:r>
                    <w:rPr>
                      <w:rFonts w:ascii="Georgia" w:hAnsi="Georgia" w:cs="Georgia"/>
                      <w:sz w:val="24"/>
                      <w:szCs w:val="24"/>
                    </w:rPr>
                    <w:t>, 2023</w:t>
                  </w:r>
                </w:p>
              </w:tc>
            </w:tr>
            <w:tr>
              <w:tc>
                <w:tcPr>
                  <w:tcW w:w="5846.4" w:type="dxa"/>
                </w:tcPr>
                <w:p>
                  <w:pPr/>
                </w:p>
                <w:p>
                  <w:pPr>
                    <w:numPr>
                      <w:ilvl w:val="0"/>
                      <w:numId w:val="16"/>
                    </w:numPr>
                    <w:spacing w:after="0"/>
                  </w:pPr>
                  <w:r>
                    <w:rPr>
                      <w:rFonts w:ascii="Georgia" w:hAnsi="Georgia" w:cs="Georgia"/>
                      <w:sz w:val="24"/>
                      <w:szCs w:val="24"/>
                    </w:rPr>
                    <w:t xml:space="preserve">Empfohlene Anwältin für Projects - Band 2, </w:t>
                  </w:r>
                  <w:r>
                    <w:rPr>
                      <w:lang w:val="de-DE"/>
                      <w:rFonts w:ascii="Georgia" w:hAnsi="Georgia" w:cs="Georgia"/>
                      <w:i/>
                      <w:u w:val="none"/>
                      <w:sz w:val="24"/>
                      <w:szCs w:val="24"/>
                      <w:color w:val="000000"/>
                    </w:rPr>
                    <w:t>Chambers Europe</w:t>
                  </w:r>
                  <w:r>
                    <w:rPr>
                      <w:rFonts w:ascii="Georgia" w:hAnsi="Georgia" w:cs="Georgia"/>
                      <w:sz w:val="24"/>
                      <w:szCs w:val="24"/>
                    </w:rPr>
                    <w:t>, 2024</w:t>
                  </w:r>
                </w:p>
              </w:tc>
            </w:tr>
            <w:tr>
              <w:tc>
                <w:tcPr>
                  <w:tcW w:w="5846.4" w:type="dxa"/>
                </w:tcPr>
                <w:p>
                  <w:pPr/>
                </w:p>
                <w:p>
                  <w:pPr>
                    <w:numPr>
                      <w:ilvl w:val="0"/>
                      <w:numId w:val="17"/>
                    </w:numPr>
                    <w:spacing w:after="0"/>
                  </w:pPr>
                  <w:r>
                    <w:rPr>
                      <w:rFonts w:ascii="Georgia" w:hAnsi="Georgia" w:cs="Georgia"/>
                      <w:sz w:val="24"/>
                      <w:szCs w:val="24"/>
                    </w:rPr>
                    <w:t xml:space="preserve">Empfohlene Anwältin für Projects - Band 2, </w:t>
                  </w:r>
                  <w:r>
                    <w:rPr>
                      <w:lang w:val="de-DE"/>
                      <w:rFonts w:ascii="Georgia" w:hAnsi="Georgia" w:cs="Georgia"/>
                      <w:i/>
                      <w:u w:val="none"/>
                      <w:sz w:val="24"/>
                      <w:szCs w:val="24"/>
                      <w:color w:val="000000"/>
                    </w:rPr>
                    <w:t>Chambers Europe</w:t>
                  </w:r>
                  <w:r>
                    <w:rPr>
                      <w:rFonts w:ascii="Georgia" w:hAnsi="Georgia" w:cs="Georgia"/>
                      <w:sz w:val="24"/>
                      <w:szCs w:val="24"/>
                    </w:rPr>
                    <w:t>, 2023</w:t>
                  </w:r>
                </w:p>
              </w:tc>
            </w:tr>
            <w:tr>
              <w:tc>
                <w:tcPr>
                  <w:tcW w:w="5846.4" w:type="dxa"/>
                </w:tcPr>
                <w:p>
                  <w:pPr/>
                </w:p>
                <w:p>
                  <w:pPr>
                    <w:numPr>
                      <w:ilvl w:val="0"/>
                      <w:numId w:val="18"/>
                    </w:numPr>
                    <w:spacing w:after="0"/>
                  </w:pPr>
                  <w:r>
                    <w:rPr>
                      <w:rFonts w:ascii="Georgia" w:hAnsi="Georgia" w:cs="Georgia"/>
                      <w:sz w:val="24"/>
                      <w:szCs w:val="24"/>
                    </w:rPr>
                    <w:t xml:space="preserve">Empfohlene Anwältin für Banking and Finance: Regulatory, </w:t>
                  </w:r>
                  <w:r>
                    <w:rPr>
                      <w:lang w:val="de-DE"/>
                      <w:rFonts w:ascii="Georgia" w:hAnsi="Georgia" w:cs="Georgia"/>
                      <w:i/>
                      <w:u w:val="none"/>
                      <w:sz w:val="24"/>
                      <w:szCs w:val="24"/>
                      <w:color w:val="000000"/>
                    </w:rPr>
                    <w:t>Chambers Europe, Chambers Global</w:t>
                  </w:r>
                  <w:r>
                    <w:rPr>
                      <w:rFonts w:ascii="Georgia" w:hAnsi="Georgia" w:cs="Georgia"/>
                      <w:sz w:val="24"/>
                      <w:szCs w:val="24"/>
                    </w:rPr>
                    <w:t>, 2023</w:t>
                  </w:r>
                </w:p>
              </w:tc>
            </w:tr>
            <w:tr>
              <w:tc>
                <w:tcPr>
                  <w:tcW w:w="5846.4" w:type="dxa"/>
                </w:tcPr>
                <w:p>
                  <w:pPr/>
                </w:p>
                <w:p>
                  <w:pPr>
                    <w:numPr>
                      <w:ilvl w:val="0"/>
                      <w:numId w:val="19"/>
                    </w:numPr>
                    <w:spacing w:after="0"/>
                  </w:pPr>
                  <w:r>
                    <w:rPr>
                      <w:rFonts w:ascii="Georgia" w:hAnsi="Georgia" w:cs="Georgia"/>
                      <w:sz w:val="24"/>
                      <w:szCs w:val="24"/>
                    </w:rPr>
                    <w:t xml:space="preserve">Empfohlene Anwältin für Energie,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0"/>
                    </w:numPr>
                    <w:spacing w:after="0"/>
                  </w:pPr>
                  <w:r>
                    <w:rPr>
                      <w:rFonts w:ascii="Georgia" w:hAnsi="Georgia" w:cs="Georgia"/>
                      <w:sz w:val="24"/>
                      <w:szCs w:val="24"/>
                    </w:rPr>
                    <w:t xml:space="preserve">Name der nächsten Generation - Energie,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1"/>
                    </w:numPr>
                    <w:spacing w:after="0"/>
                  </w:pPr>
                  <w:r>
                    <w:rPr>
                      <w:rFonts w:ascii="Georgia" w:hAnsi="Georgia" w:cs="Georgia"/>
                      <w:sz w:val="24"/>
                      <w:szCs w:val="24"/>
                    </w:rPr>
                    <w:t xml:space="preserve">Empfohlene Anwältin für Baurecht (einschließlich Streitbeilegung),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2"/>
                    </w:numPr>
                    <w:spacing w:after="0"/>
                  </w:pPr>
                  <w:r>
                    <w:rPr>
                      <w:rFonts w:ascii="Georgia" w:hAnsi="Georgia" w:cs="Georgia"/>
                      <w:sz w:val="24"/>
                      <w:szCs w:val="24"/>
                    </w:rPr>
                    <w:t xml:space="preserve">Empfohlene Anwältin für Projektfinanzierung,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3"/>
                    </w:numPr>
                    <w:spacing w:after="0"/>
                  </w:pPr>
                  <w:r>
                    <w:rPr>
                      <w:rFonts w:ascii="Georgia" w:hAnsi="Georgia" w:cs="Georgia"/>
                      <w:sz w:val="24"/>
                      <w:szCs w:val="24"/>
                    </w:rPr>
                    <w:t xml:space="preserve">Name der nächsten Generation - Projektfinanzierung,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4"/>
                    </w:numPr>
                    <w:spacing w:after="0"/>
                  </w:pPr>
                  <w:r>
                    <w:rPr>
                      <w:rFonts w:ascii="Georgia" w:hAnsi="Georgia" w:cs="Georgia"/>
                      <w:sz w:val="24"/>
                      <w:szCs w:val="24"/>
                    </w:rPr>
                    <w:t xml:space="preserve">Empfohlene Anwältin für Immobilienfinanzierung,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5"/>
                    </w:numPr>
                    <w:spacing w:after="0"/>
                  </w:pPr>
                  <w:r>
                    <w:rPr>
                      <w:rFonts w:ascii="Georgia" w:hAnsi="Georgia" w:cs="Georgia"/>
                      <w:sz w:val="24"/>
                      <w:szCs w:val="24"/>
                    </w:rPr>
                    <w:t xml:space="preserve">Empfohlene Anwältin für Kreditrecht, </w:t>
                  </w:r>
                  <w:r>
                    <w:rPr>
                      <w:lang w:val="de-DE"/>
                      <w:rFonts w:ascii="Georgia" w:hAnsi="Georgia" w:cs="Georgia"/>
                      <w:i/>
                      <w:u w:val="none"/>
                      <w:sz w:val="24"/>
                      <w:szCs w:val="24"/>
                      <w:color w:val="000000"/>
                    </w:rPr>
                    <w:t>Legal 500 Deutschland</w:t>
                  </w:r>
                  <w:r>
                    <w:rPr>
                      <w:rFonts w:ascii="Georgia" w:hAnsi="Georgia" w:cs="Georgia"/>
                      <w:sz w:val="24"/>
                      <w:szCs w:val="24"/>
                    </w:rPr>
                    <w:t>, 2024</w:t>
                  </w:r>
                </w:p>
              </w:tc>
            </w:tr>
            <w:tr>
              <w:tc>
                <w:tcPr>
                  <w:tcW w:w="5846.4" w:type="dxa"/>
                </w:tcPr>
                <w:p>
                  <w:pPr/>
                </w:p>
                <w:p>
                  <w:pPr>
                    <w:numPr>
                      <w:ilvl w:val="0"/>
                      <w:numId w:val="26"/>
                    </w:numPr>
                    <w:spacing w:after="0"/>
                  </w:pPr>
                  <w:r>
                    <w:rPr>
                      <w:rFonts w:ascii="Georgia" w:hAnsi="Georgia" w:cs="Georgia"/>
                      <w:sz w:val="24"/>
                      <w:szCs w:val="24"/>
                    </w:rPr>
                    <w:t xml:space="preserve">Empfohlene Anwältin für Immobilienfinanzierung, </w:t>
                  </w:r>
                  <w:r>
                    <w:rPr>
                      <w:lang w:val="de-DE"/>
                      <w:rFonts w:ascii="Georgia" w:hAnsi="Georgia" w:cs="Georgia"/>
                      <w:i/>
                      <w:u w:val="none"/>
                      <w:sz w:val="24"/>
                      <w:szCs w:val="24"/>
                      <w:color w:val="000000"/>
                    </w:rPr>
                    <w:t>Legal 500 Deutschland</w:t>
                  </w:r>
                  <w:r>
                    <w:rPr>
                      <w:rFonts w:ascii="Georgia" w:hAnsi="Georgia" w:cs="Georgia"/>
                      <w:sz w:val="24"/>
                      <w:szCs w:val="24"/>
                    </w:rPr>
                    <w:t>, 2023</w:t>
                  </w:r>
                </w:p>
              </w:tc>
            </w:tr>
            <w:tr>
              <w:tc>
                <w:tcPr>
                  <w:tcW w:w="5846.4" w:type="dxa"/>
                </w:tcPr>
                <w:p>
                  <w:pPr/>
                </w:p>
                <w:p>
                  <w:pPr>
                    <w:numPr>
                      <w:ilvl w:val="0"/>
                      <w:numId w:val="27"/>
                    </w:numPr>
                    <w:spacing w:after="0"/>
                  </w:pPr>
                  <w:r>
                    <w:rPr>
                      <w:rFonts w:ascii="Georgia" w:hAnsi="Georgia" w:cs="Georgia"/>
                      <w:sz w:val="24"/>
                      <w:szCs w:val="24"/>
                    </w:rPr>
                    <w:t xml:space="preserve">Empfohlene Anwältin für Kreditrecht, </w:t>
                  </w:r>
                  <w:r>
                    <w:rPr>
                      <w:lang w:val="de-DE"/>
                      <w:rFonts w:ascii="Georgia" w:hAnsi="Georgia" w:cs="Georgia"/>
                      <w:i/>
                      <w:u w:val="none"/>
                      <w:sz w:val="24"/>
                      <w:szCs w:val="24"/>
                      <w:color w:val="000000"/>
                    </w:rPr>
                    <w:t>Legal 500 Deutschland</w:t>
                  </w:r>
                  <w:r>
                    <w:rPr>
                      <w:rFonts w:ascii="Georgia" w:hAnsi="Georgia" w:cs="Georgia"/>
                      <w:sz w:val="24"/>
                      <w:szCs w:val="24"/>
                    </w:rPr>
                    <w:t>, 2023</w:t>
                  </w:r>
                </w:p>
              </w:tc>
            </w:tr>
            <w:tr>
              <w:tc>
                <w:tcPr>
                  <w:tcW w:w="5846.4" w:type="dxa"/>
                </w:tcPr>
                <w:p>
                  <w:pPr/>
                </w:p>
                <w:p>
                  <w:pPr>
                    <w:numPr>
                      <w:ilvl w:val="0"/>
                      <w:numId w:val="28"/>
                    </w:numPr>
                    <w:spacing w:after="0"/>
                  </w:pPr>
                  <w:r>
                    <w:rPr>
                      <w:rFonts w:ascii="Georgia" w:hAnsi="Georgia" w:cs="Georgia"/>
                      <w:sz w:val="24"/>
                      <w:szCs w:val="24"/>
                    </w:rPr>
                    <w:t xml:space="preserve">Empfohlene Anwältin für Projektfinanzierung, </w:t>
                  </w:r>
                  <w:r>
                    <w:rPr>
                      <w:lang w:val="de-DE"/>
                      <w:rFonts w:ascii="Georgia" w:hAnsi="Georgia" w:cs="Georgia"/>
                      <w:i/>
                      <w:u w:val="none"/>
                      <w:sz w:val="24"/>
                      <w:szCs w:val="24"/>
                      <w:color w:val="000000"/>
                    </w:rPr>
                    <w:t>Legal 500 Deutschland</w:t>
                  </w:r>
                  <w:r>
                    <w:rPr>
                      <w:rFonts w:ascii="Georgia" w:hAnsi="Georgia" w:cs="Georgia"/>
                      <w:sz w:val="24"/>
                      <w:szCs w:val="24"/>
                    </w:rPr>
                    <w:t>, 2023</w:t>
                  </w:r>
                </w:p>
              </w:tc>
            </w:tr>
            <w:tr>
              <w:tc>
                <w:tcPr>
                  <w:tcW w:w="5846.4" w:type="dxa"/>
                </w:tcPr>
                <w:p>
                  <w:pPr/>
                </w:p>
                <w:p>
                  <w:pPr>
                    <w:numPr>
                      <w:ilvl w:val="0"/>
                      <w:numId w:val="29"/>
                    </w:numPr>
                    <w:spacing w:after="0"/>
                  </w:pPr>
                  <w:r>
                    <w:rPr>
                      <w:rFonts w:ascii="Georgia" w:hAnsi="Georgia" w:cs="Georgia"/>
                      <w:sz w:val="24"/>
                      <w:szCs w:val="24"/>
                    </w:rPr>
                    <w:t xml:space="preserve">Name der nächsten Generation für Projektfinanzierung, </w:t>
                  </w:r>
                  <w:r>
                    <w:rPr>
                      <w:lang w:val="de-DE"/>
                      <w:rFonts w:ascii="Georgia" w:hAnsi="Georgia" w:cs="Georgia"/>
                      <w:i/>
                      <w:u w:val="none"/>
                      <w:sz w:val="24"/>
                      <w:szCs w:val="24"/>
                      <w:color w:val="000000"/>
                    </w:rPr>
                    <w:t>Legal 500 Deutschland</w:t>
                  </w:r>
                  <w:r>
                    <w:rPr>
                      <w:rFonts w:ascii="Georgia" w:hAnsi="Georgia" w:cs="Georgia"/>
                      <w:sz w:val="24"/>
                      <w:szCs w:val="24"/>
                    </w:rPr>
                    <w:t>, 2023</w:t>
                  </w:r>
                </w:p>
              </w:tc>
            </w:tr>
            <w:tr>
              <w:tc>
                <w:tcPr>
                  <w:tcW w:w="5846.4" w:type="dxa"/>
                </w:tcPr>
                <w:p>
                  <w:pPr/>
                </w:p>
                <w:p>
                  <w:pPr>
                    <w:numPr>
                      <w:ilvl w:val="0"/>
                      <w:numId w:val="30"/>
                    </w:numPr>
                    <w:spacing w:after="0"/>
                  </w:pPr>
                  <w:r>
                    <w:rPr>
                      <w:rFonts w:ascii="Georgia" w:hAnsi="Georgia" w:cs="Georgia"/>
                      <w:sz w:val="24"/>
                      <w:szCs w:val="24"/>
                    </w:rPr>
                    <w:t xml:space="preserve">Empfohlene Anwältin für Baurecht (einschließlich Streitbeilegung), </w:t>
                  </w:r>
                  <w:r>
                    <w:rPr>
                      <w:lang w:val="de-DE"/>
                      <w:rFonts w:ascii="Georgia" w:hAnsi="Georgia" w:cs="Georgia"/>
                      <w:i/>
                      <w:u w:val="none"/>
                      <w:sz w:val="24"/>
                      <w:szCs w:val="24"/>
                      <w:color w:val="000000"/>
                    </w:rPr>
                    <w:t>Legal 500 Deutschland</w:t>
                  </w:r>
                  <w:r>
                    <w:rPr>
                      <w:rFonts w:ascii="Georgia" w:hAnsi="Georgia" w:cs="Georgia"/>
                      <w:sz w:val="24"/>
                      <w:szCs w:val="24"/>
                    </w:rPr>
                    <w:t>, 2023</w:t>
                  </w:r>
                </w:p>
              </w:tc>
            </w:tr>
            <w:tr>
              <w:tc>
                <w:tcPr>
                  <w:tcW w:w="5846.4" w:type="dxa"/>
                </w:tcPr>
                <w:p>
                  <w:pPr/>
                </w:p>
                <w:p>
                  <w:pPr>
                    <w:numPr>
                      <w:ilvl w:val="0"/>
                      <w:numId w:val="31"/>
                    </w:numPr>
                    <w:spacing w:after="0"/>
                  </w:pPr>
                  <w:r>
                    <w:rPr>
                      <w:rFonts w:ascii="Georgia" w:hAnsi="Georgia" w:cs="Georgia"/>
                      <w:sz w:val="24"/>
                      <w:szCs w:val="24"/>
                    </w:rPr>
                    <w:t xml:space="preserve">Oft empfohlen für Kredite und Akquisitionsfinanzierung, </w:t>
                  </w:r>
                  <w:r>
                    <w:rPr>
                      <w:lang w:val="de-DE"/>
                      <w:rFonts w:ascii="Georgia" w:hAnsi="Georgia" w:cs="Georgia"/>
                      <w:i/>
                      <w:u w:val="none"/>
                      <w:sz w:val="24"/>
                      <w:szCs w:val="24"/>
                      <w:color w:val="000000"/>
                    </w:rPr>
                    <w:t>JUVE Handuch</w:t>
                  </w:r>
                  <w:r>
                    <w:rPr>
                      <w:rFonts w:ascii="Georgia" w:hAnsi="Georgia" w:cs="Georgia"/>
                      <w:sz w:val="24"/>
                      <w:szCs w:val="24"/>
                    </w:rPr>
                    <w:t>, 2023/2024</w:t>
                  </w:r>
                </w:p>
              </w:tc>
            </w:tr>
            <w:tr>
              <w:tc>
                <w:tcPr>
                  <w:tcW w:w="5846.4" w:type="dxa"/>
                </w:tcPr>
                <w:p>
                  <w:pPr/>
                </w:p>
                <w:p>
                  <w:pPr>
                    <w:numPr>
                      <w:ilvl w:val="0"/>
                      <w:numId w:val="32"/>
                    </w:numPr>
                    <w:spacing w:after="0"/>
                  </w:pPr>
                  <w:r>
                    <w:rPr>
                      <w:rFonts w:ascii="Georgia" w:hAnsi="Georgia" w:cs="Georgia"/>
                      <w:sz w:val="24"/>
                      <w:szCs w:val="24"/>
                    </w:rPr>
                    <w:t xml:space="preserve">Oft empfohlen für Energiewirtschaftsrecht: Transaktionen/ Finanzierung, </w:t>
                  </w:r>
                  <w:r>
                    <w:rPr>
                      <w:lang w:val="de-DE"/>
                      <w:rFonts w:ascii="Georgia" w:hAnsi="Georgia" w:cs="Georgia"/>
                      <w:i/>
                      <w:u w:val="none"/>
                      <w:sz w:val="24"/>
                      <w:szCs w:val="24"/>
                      <w:color w:val="000000"/>
                    </w:rPr>
                    <w:t>JUVE Handbuch</w:t>
                  </w:r>
                  <w:r>
                    <w:rPr>
                      <w:rFonts w:ascii="Georgia" w:hAnsi="Georgia" w:cs="Georgia"/>
                      <w:sz w:val="24"/>
                      <w:szCs w:val="24"/>
                    </w:rPr>
                    <w:t>, 2023/2024</w:t>
                  </w:r>
                </w:p>
              </w:tc>
            </w:tr>
            <w:tr>
              <w:tc>
                <w:tcPr>
                  <w:tcW w:w="5846.4" w:type="dxa"/>
                </w:tcPr>
                <w:p>
                  <w:pPr/>
                </w:p>
                <w:p>
                  <w:pPr>
                    <w:numPr>
                      <w:ilvl w:val="0"/>
                      <w:numId w:val="33"/>
                    </w:numPr>
                    <w:spacing w:after="0"/>
                  </w:pPr>
                  <w:r>
                    <w:rPr>
                      <w:rFonts w:ascii="Georgia" w:hAnsi="Georgia" w:cs="Georgia"/>
                      <w:sz w:val="24"/>
                      <w:szCs w:val="24"/>
                    </w:rPr>
                    <w:t xml:space="preserve">Oft empfohlen für Verkehrssektor: Finanzierung, </w:t>
                  </w:r>
                  <w:r>
                    <w:rPr>
                      <w:lang w:val="de-DE"/>
                      <w:rFonts w:ascii="Georgia" w:hAnsi="Georgia" w:cs="Georgia"/>
                      <w:i/>
                      <w:u w:val="none"/>
                      <w:sz w:val="24"/>
                      <w:szCs w:val="24"/>
                      <w:color w:val="000000"/>
                    </w:rPr>
                    <w:t>JUVE Handbuch</w:t>
                  </w:r>
                  <w:r>
                    <w:rPr>
                      <w:rFonts w:ascii="Georgia" w:hAnsi="Georgia" w:cs="Georgia"/>
                      <w:sz w:val="24"/>
                      <w:szCs w:val="24"/>
                    </w:rPr>
                    <w:t>, 2023/2024</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de-DE"/>
                      <w:rFonts w:ascii="Calibri" w:hAnsi="Calibri" w:cs="Calibri"/>
                      <w:u w:val="none"/>
                      <w:sz w:val="40"/>
                      <w:szCs w:val="40"/>
                      <w:color w:val="58A618"/>
                    </w:rPr>
                    <w:t>Presse, Publikationen und Veranstaltungen</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Infrastrukturprojekt der Zukunft: Hogan Lovells berät firstcolo bei Joint Venture mit OVAG für den Bau eines Rechenzentrums</w:t>
                  </w:r>
                  <w:r>
                    <w:rPr>
                      <w:rFonts w:ascii="Georgia" w:hAnsi="Georgia" w:cs="Georgia"/>
                      <w:sz w:val="20"/>
                      <w:szCs w:val="20"/>
                    </w:rPr>
                    <w:br/>
                  </w:r>
                  <w:r>
                    <w:rPr>
                      <w:rFonts w:ascii="Georgia" w:hAnsi="Georgia" w:cs="Georgia"/>
                      <w:sz w:val="20"/>
                      <w:szCs w:val="20"/>
                    </w:rPr>
                    <w:t>20. März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Hogan Lovells berät Calisen bei der Finanzierung einer €100 Millionen Smart-Metering-Partnerschaft mit Energy Metering</w:t>
                  </w:r>
                  <w:r>
                    <w:rPr>
                      <w:rFonts w:ascii="Georgia" w:hAnsi="Georgia" w:cs="Georgia"/>
                      <w:sz w:val="20"/>
                      <w:szCs w:val="20"/>
                    </w:rPr>
                    <w:br/>
                  </w:r>
                  <w:r>
                    <w:rPr>
                      <w:rFonts w:ascii="Georgia" w:hAnsi="Georgia" w:cs="Georgia"/>
                      <w:sz w:val="20"/>
                      <w:szCs w:val="20"/>
                    </w:rPr>
                    <w:t>18. Februar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Hogan Lovells berät GVG Glasfaser bei einer Finanzierung in Höhe von 135 Millionen Euro für den weiteren Ausbau von Fiber-to-the-Home-Netzwerken</w:t>
                  </w:r>
                  <w:r>
                    <w:rPr>
                      <w:rFonts w:ascii="Georgia" w:hAnsi="Georgia" w:cs="Georgia"/>
                      <w:sz w:val="20"/>
                      <w:szCs w:val="20"/>
                    </w:rPr>
                    <w:br/>
                  </w:r>
                  <w:r>
                    <w:rPr>
                      <w:rFonts w:ascii="Georgia" w:hAnsi="Georgia" w:cs="Georgia"/>
                      <w:sz w:val="20"/>
                      <w:szCs w:val="20"/>
                    </w:rPr>
                    <w:t>17. Februar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Hogan Lovells berät Hillwood bei einer 35-Millionen-Euro-Finanzierung einer Industrieimmobilie in Hannover</w:t>
                  </w:r>
                  <w:r>
                    <w:rPr>
                      <w:rFonts w:ascii="Georgia" w:hAnsi="Georgia" w:cs="Georgia"/>
                      <w:sz w:val="20"/>
                      <w:szCs w:val="20"/>
                    </w:rPr>
                    <w:br/>
                  </w:r>
                  <w:r>
                    <w:rPr>
                      <w:rFonts w:ascii="Georgia" w:hAnsi="Georgia" w:cs="Georgia"/>
                      <w:sz w:val="20"/>
                      <w:szCs w:val="20"/>
                    </w:rPr>
                    <w:t>4. Februar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Powering the Future: Hogan Lovells berät terralayr bei einer BESS-Portfoliofinanzierung in Höhe von 60 Millionen Euro in Deutschland</w:t>
                  </w:r>
                  <w:r>
                    <w:rPr>
                      <w:rFonts w:ascii="Georgia" w:hAnsi="Georgia" w:cs="Georgia"/>
                      <w:sz w:val="20"/>
                      <w:szCs w:val="20"/>
                    </w:rPr>
                    <w:br/>
                  </w:r>
                  <w:r>
                    <w:rPr>
                      <w:rFonts w:ascii="Georgia" w:hAnsi="Georgia" w:cs="Georgia"/>
                      <w:sz w:val="20"/>
                      <w:szCs w:val="20"/>
                    </w:rPr>
                    <w:t>26. Januar 2026</w:t>
                  </w:r>
                </w:p>
              </w:tc>
            </w:tr>
            <w:tr>
              <w:tc>
                <w:tcPr>
                  <w:tcW w:w="5846.4" w:type="dxa"/>
                </w:tcPr>
                <w:p>
                  <w:pPr>
                    <w:spacing w:after="220"/>
                  </w:pPr>
                  <w:r>
                    <w:rPr>
                      <w:lang w:val="de-DE"/>
                      <w:rFonts w:ascii="Georgia" w:hAnsi="Georgia" w:cs="Georgia"/>
                      <w:u w:val="none"/>
                      <w:sz w:val="24"/>
                      <w:szCs w:val="24"/>
                      <w:color w:val="58A618"/>
                    </w:rPr>
                    <w:t>Pressemitteilungen</w:t>
                  </w:r>
                  <w:r>
                    <w:rPr>
                      <w:rFonts w:ascii="Georgia" w:hAnsi="Georgia" w:cs="Georgia"/>
                      <w:sz w:val="24"/>
                      <w:szCs w:val="24"/>
                    </w:rPr>
                    <w:br/>
                  </w:r>
                  <w:r>
                    <w:rPr>
                      <w:rFonts w:ascii="Georgia" w:hAnsi="Georgia" w:cs="Georgia"/>
                      <w:sz w:val="24"/>
                      <w:szCs w:val="24"/>
                    </w:rPr>
                    <w:t>Future of Energy: Hogan Lovells berät ECO STOR bei der Finanzierung eines der größten Batteriegroßspeicherprojekte Deutschlands</w:t>
                  </w:r>
                  <w:r>
                    <w:rPr>
                      <w:rFonts w:ascii="Georgia" w:hAnsi="Georgia" w:cs="Georgia"/>
                      <w:sz w:val="20"/>
                      <w:szCs w:val="20"/>
                    </w:rPr>
                    <w:br/>
                  </w:r>
                  <w:r>
                    <w:rPr>
                      <w:rFonts w:ascii="Georgia" w:hAnsi="Georgia" w:cs="Georgia"/>
                      <w:sz w:val="20"/>
                      <w:szCs w:val="20"/>
                    </w:rPr>
                    <w:t>22. Januar 2026</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3e3a442a8d4b5f"/>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de-DE"/>
                      <w:rFonts w:ascii="Georgia" w:hAnsi="Georgia" w:cs="Georgia"/>
                      <w:u w:val="none"/>
                      <w:sz w:val="36"/>
                      <w:szCs w:val="36"/>
                      <w:color w:val="000000"/>
                    </w:rPr>
                    <w:t>Telefon</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de-DE"/>
                      <w:rFonts w:ascii="Georgia" w:hAnsi="Georgia" w:cs="Georgia"/>
                      <w:u w:val="none"/>
                      <w:sz w:val="24"/>
                      <w:szCs w:val="24"/>
                      <w:color w:val="000000"/>
                    </w:rPr>
                    <w:t>+49 40 419 93 0 (Hamburg)</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de-DE"/>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de-DE"/>
                      <w:rFonts w:ascii="Georgia" w:hAnsi="Georgia" w:cs="Georgia"/>
                      <w:u w:val="none"/>
                      <w:sz w:val="24"/>
                      <w:szCs w:val="24"/>
                      <w:color w:val="000000"/>
                    </w:rPr>
                    <w:t>+49 40 419 93 200 (Hamburg)</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de-DE"/>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aa067dcb41b148f0" w:history="1">
                    <w:r>
                      <w:rPr>
                        <w:rStyle w:val="Hyperlink"/>
                        <w:rFonts w:ascii="Georgia" w:hAnsi="Georgia" w:cs="Georgia"/>
                        <w:sz w:val="22"/>
                        <w:szCs w:val="22"/>
                        <w:u w:val="none"/>
                      </w:rPr>
                      <w:t>carla.luh@hoganlovells.com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de-DE"/>
                      <w:rFonts w:ascii="Calibri" w:hAnsi="Calibri" w:cs="Calibri"/>
                      <w:u w:val="none"/>
                      <w:sz w:val="40"/>
                      <w:szCs w:val="40"/>
                      <w:color w:val="58A618"/>
                    </w:rPr>
                    <w:t>Sprachen</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de-DE"/>
                      <w:rFonts w:ascii="Georgia" w:hAnsi="Georgia" w:cs="Georgia"/>
                      <w:u w:val="none"/>
                      <w:sz w:val="24"/>
                      <w:szCs w:val="24"/>
                      <w:color w:val="000000"/>
                    </w:rPr>
                    <w:t>Deutsch</w:t>
                  </w:r>
                </w:p>
              </w:tc>
            </w:tr>
            <w:tr>
              <w:tc>
                <w:tcPr>
                  <w:tcW w:w="3686.4" w:type="dxa"/>
                </w:tcPr>
                <w:p>
                  <w:pPr>
                    <w:spacing w:after="220"/>
                  </w:pPr>
                  <w:r>
                    <w:rPr>
                      <w:lang w:val="de-DE"/>
                      <w:rFonts w:ascii="Georgia" w:hAnsi="Georgia" w:cs="Georgia"/>
                      <w:u w:val="none"/>
                      <w:sz w:val="24"/>
                      <w:szCs w:val="24"/>
                      <w:color w:val="000000"/>
                    </w:rPr>
                    <w:t>Englisch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de-DE"/>
                      <w:rFonts w:ascii="Calibri" w:hAnsi="Calibri" w:cs="Calibri"/>
                      <w:u w:val="none"/>
                      <w:sz w:val="40"/>
                      <w:szCs w:val="40"/>
                      <w:color w:val="58A618"/>
                    </w:rPr>
                    <w:t>Rechtsgebiete</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11fe09dc7f5842f8" w:history="1">
                    <w:r>
                      <w:rPr>
                        <w:rStyle w:val="Hyperlink"/>
                        <w:rFonts w:ascii="Georgia" w:hAnsi="Georgia" w:cs="Georgia"/>
                        <w:sz w:val="24"/>
                        <w:szCs w:val="24"/>
                      </w:rPr>
                      <w:t>Finanzierungen</w:t>
                    </w:r>
                  </w:hyperlink>
                </w:p>
              </w:tc>
            </w:tr>
            <w:tr>
              <w:tc>
                <w:tcPr>
                  <w:tcW w:w="3686.4" w:type="dxa"/>
                </w:tcPr>
                <w:p>
                  <w:pPr>
                    <w:spacing w:after="220"/>
                  </w:pPr>
                  <w:hyperlink r:id="Rac240dd811c04571" w:history="1">
                    <w:r>
                      <w:rPr>
                        <w:rStyle w:val="Hyperlink"/>
                        <w:rFonts w:ascii="Georgia" w:hAnsi="Georgia" w:cs="Georgia"/>
                        <w:sz w:val="24"/>
                        <w:szCs w:val="24"/>
                      </w:rPr>
                      <w:t>Immobilienwirtschaftsrecht</w:t>
                    </w:r>
                  </w:hyperlink>
                </w:p>
              </w:tc>
            </w:tr>
            <w:tr>
              <w:tc>
                <w:tcPr>
                  <w:tcW w:w="3686.4" w:type="dxa"/>
                </w:tcPr>
                <w:p>
                  <w:pPr>
                    <w:spacing w:after="220"/>
                  </w:pPr>
                  <w:hyperlink r:id="R7cbbb6b4a1f143a1" w:history="1">
                    <w:r>
                      <w:rPr>
                        <w:rStyle w:val="Hyperlink"/>
                        <w:rFonts w:ascii="Georgia" w:hAnsi="Georgia" w:cs="Georgia"/>
                        <w:sz w:val="24"/>
                        <w:szCs w:val="24"/>
                      </w:rPr>
                      <w:t>Infrastructure, Energy, Resources and Projects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de-DE"/>
                      <w:rFonts w:ascii="Calibri" w:hAnsi="Calibri" w:cs="Calibri"/>
                      <w:u w:val="none"/>
                      <w:sz w:val="40"/>
                      <w:szCs w:val="40"/>
                      <w:color w:val="58A618"/>
                    </w:rPr>
                    <w:t>Branchen</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6bf7de5f63404e3b" w:history="1">
                    <w:r>
                      <w:rPr>
                        <w:rStyle w:val="Hyperlink"/>
                        <w:rFonts w:ascii="Georgia" w:hAnsi="Georgia" w:cs="Georgia"/>
                        <w:sz w:val="24"/>
                        <w:szCs w:val="24"/>
                      </w:rPr>
                      <w:t>Energy</w:t>
                    </w:r>
                  </w:hyperlink>
                </w:p>
              </w:tc>
            </w:tr>
            <w:tr>
              <w:tc>
                <w:tcPr>
                  <w:tcW w:w="3686.4" w:type="dxa"/>
                </w:tcPr>
                <w:p>
                  <w:pPr>
                    <w:spacing w:after="220"/>
                  </w:pPr>
                  <w:hyperlink r:id="R06989af9f10d416e" w:history="1">
                    <w:r>
                      <w:rPr>
                        <w:rStyle w:val="Hyperlink"/>
                        <w:rFonts w:ascii="Georgia" w:hAnsi="Georgia" w:cs="Georgia"/>
                        <w:sz w:val="24"/>
                        <w:szCs w:val="24"/>
                      </w:rPr>
                      <w:t>Financial Institutions</w:t>
                    </w:r>
                  </w:hyperlink>
                </w:p>
              </w:tc>
            </w:tr>
            <w:tr>
              <w:tc>
                <w:tcPr>
                  <w:tcW w:w="3686.4" w:type="dxa"/>
                </w:tcPr>
                <w:p>
                  <w:pPr>
                    <w:spacing w:after="220"/>
                  </w:pPr>
                  <w:hyperlink r:id="R2c18e04beda445c6" w:history="1">
                    <w:r>
                      <w:rPr>
                        <w:rStyle w:val="Hyperlink"/>
                        <w:rFonts w:ascii="Georgia" w:hAnsi="Georgia" w:cs="Georgia"/>
                        <w:sz w:val="24"/>
                        <w:szCs w:val="24"/>
                      </w:rPr>
                      <w:t>Insurance</w:t>
                    </w:r>
                  </w:hyperlink>
                </w:p>
              </w:tc>
            </w:tr>
            <w:tr>
              <w:tc>
                <w:tcPr>
                  <w:tcW w:w="3686.4" w:type="dxa"/>
                </w:tcPr>
                <w:p>
                  <w:pPr>
                    <w:spacing w:after="220"/>
                  </w:pPr>
                  <w:hyperlink r:id="R40edb9ddfa6244fe" w:history="1">
                    <w:r>
                      <w:rPr>
                        <w:rStyle w:val="Hyperlink"/>
                        <w:rFonts w:ascii="Georgia" w:hAnsi="Georgia" w:cs="Georgia"/>
                        <w:sz w:val="24"/>
                        <w:szCs w:val="24"/>
                      </w:rPr>
                      <w:t>Real Estate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de-DE"/>
                      <w:rFonts w:ascii="Calibri" w:hAnsi="Calibri" w:cs="Calibri"/>
                      <w:u w:val="none"/>
                      <w:sz w:val="40"/>
                      <w:szCs w:val="40"/>
                      <w:color w:val="58A618"/>
                    </w:rPr>
                    <w:t>Ausbildung und Zulassungen</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de-DE"/>
                      <w:rFonts w:ascii="Calibri" w:hAnsi="Calibri" w:cs="Calibri"/>
                      <w:u w:val="none"/>
                      <w:sz w:val="40"/>
                      <w:szCs w:val="40"/>
                      <w:color w:val="58A618"/>
                    </w:rPr>
                    <w:t>Ausbildung</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de-DE"/>
                      <w:rFonts w:ascii="Georgia" w:hAnsi="Georgia" w:cs="Georgia"/>
                      <w:u w:val="none"/>
                      <w:sz w:val="24"/>
                      <w:szCs w:val="24"/>
                      <w:color w:val="000000"/>
                    </w:rPr>
                    <w:t>Zweites Juristisches Staatsexamen, Landgericht Mainz, 2009</w:t>
                  </w:r>
                </w:p>
              </w:tc>
            </w:tr>
            <w:tr>
              <w:tc>
                <w:tcPr>
                  <w:tcW w:w="3686.4" w:type="dxa"/>
                </w:tcPr>
                <w:p>
                  <w:pPr>
                    <w:spacing w:after="220"/>
                  </w:pPr>
                  <w:r>
                    <w:rPr>
                      <w:lang w:val="de-DE"/>
                      <w:rFonts w:ascii="Georgia" w:hAnsi="Georgia" w:cs="Georgia"/>
                      <w:u w:val="none"/>
                      <w:sz w:val="24"/>
                      <w:szCs w:val="24"/>
                      <w:color w:val="000000"/>
                    </w:rPr>
                    <w:t>Erstes Juristisches Staatsexamen, Johannes Gutenberg-Universität Mainz, 2006</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de-DE"/>
                      <w:rFonts w:ascii="Calibri" w:hAnsi="Calibri" w:cs="Calibri"/>
                      <w:u w:val="none"/>
                      <w:sz w:val="40"/>
                      <w:szCs w:val="40"/>
                      <w:color w:val="58A618"/>
                    </w:rPr>
                    <w:t>Marktwahrnehmung</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de-DE"/>
                      <w:rFonts w:ascii="Georgia" w:hAnsi="Georgia" w:cs="Georgia"/>
                      <w:u w:val="none"/>
                      <w:sz w:val="24"/>
                      <w:szCs w:val="24"/>
                      <w:color w:val="000000"/>
                    </w:rPr>
                    <w:t>„Das von Carla Luh geleitete Team zeichnet sich durch ein hohes Maß an Fachwissen, effiziente Durchführung von Transaktionen und pragmatische Lösungen aus, wenn während eines Geschäfts Herausforderungen auftreten. Das Arbeitsumfeld ist sehr kollaborativ."</w:t>
                  </w:r>
                </w:p>
                <w:p>
                  <w:pPr>
                    <w:jc w:val="right"/>
                    <w:spacing w:after="300"/>
                  </w:pPr>
                  <w:r>
                    <w:rPr>
                      <w:lang w:val="de-DE"/>
                      <w:u w:val="none"/>
                      <w:i/>
                      <w:rFonts w:ascii="Georgia" w:hAnsi="Georgia" w:cs="Georgia"/>
                      <w:sz w:val="24"/>
                      <w:szCs w:val="24"/>
                    </w:rPr>
                    <w:t>Legal 500 Deutschland, 2025</w:t>
                  </w:r>
                </w:p>
              </w:tc>
            </w:tr>
            <w:tr>
              <w:tc>
                <w:tcPr>
                  <w:tcW w:w="3686.4" w:type="dxa"/>
                </w:tcPr>
                <w:p>
                  <w:pPr>
                    <w:spacing w:after="120"/>
                  </w:pPr>
                  <w:r>
                    <w:rPr>
                      <w:lang w:val="de-DE"/>
                      <w:rFonts w:ascii="Georgia" w:hAnsi="Georgia" w:cs="Georgia"/>
                      <w:u w:val="none"/>
                      <w:sz w:val="24"/>
                      <w:szCs w:val="24"/>
                      <w:color w:val="000000"/>
                    </w:rPr>
                    <w:t>„Ausgezeichnete Verbindungen innerhalb der Finanzbranche."</w:t>
                  </w:r>
                </w:p>
                <w:p>
                  <w:pPr>
                    <w:jc w:val="right"/>
                    <w:spacing w:after="300"/>
                  </w:pPr>
                  <w:r>
                    <w:rPr>
                      <w:lang w:val="de-DE"/>
                      <w:u w:val="none"/>
                      <w:i/>
                      <w:rFonts w:ascii="Georgia" w:hAnsi="Georgia" w:cs="Georgia"/>
                      <w:sz w:val="24"/>
                      <w:szCs w:val="24"/>
                    </w:rPr>
                    <w:t>Legal 500 Deutschland, 2025</w:t>
                  </w:r>
                </w:p>
              </w:tc>
            </w:tr>
            <w:tr>
              <w:tc>
                <w:tcPr>
                  <w:tcW w:w="3686.4" w:type="dxa"/>
                </w:tcPr>
                <w:p>
                  <w:pPr>
                    <w:spacing w:after="120"/>
                  </w:pPr>
                  <w:r>
                    <w:rPr>
                      <w:lang w:val="de-DE"/>
                      <w:rFonts w:ascii="Georgia" w:hAnsi="Georgia" w:cs="Georgia"/>
                      <w:u w:val="none"/>
                      <w:sz w:val="24"/>
                      <w:szCs w:val="24"/>
                      <w:color w:val="000000"/>
                    </w:rPr>
                    <w:t>„Carla Luh ist sehr ergebnisorientiert und lösungsorientiert.“</w:t>
                  </w:r>
                </w:p>
                <w:p>
                  <w:pPr>
                    <w:jc w:val="right"/>
                    <w:spacing w:after="300"/>
                  </w:pPr>
                  <w:r>
                    <w:rPr>
                      <w:lang w:val="de-DE"/>
                      <w:u w:val="none"/>
                      <w:i/>
                      <w:rFonts w:ascii="Georgia" w:hAnsi="Georgia" w:cs="Georgia"/>
                      <w:sz w:val="24"/>
                      <w:szCs w:val="24"/>
                    </w:rPr>
                    <w:t>Legal 500 Deutschland, 2025</w:t>
                  </w:r>
                </w:p>
              </w:tc>
            </w:tr>
            <w:tr>
              <w:tc>
                <w:tcPr>
                  <w:tcW w:w="3686.4" w:type="dxa"/>
                </w:tcPr>
                <w:p>
                  <w:pPr>
                    <w:spacing w:after="120"/>
                  </w:pPr>
                  <w:r>
                    <w:rPr>
                      <w:lang w:val="de-DE"/>
                      <w:rFonts w:ascii="Georgia" w:hAnsi="Georgia" w:cs="Georgia"/>
                      <w:u w:val="none"/>
                      <w:sz w:val="24"/>
                      <w:szCs w:val="24"/>
                      <w:color w:val="000000"/>
                    </w:rPr>
                    <w:t>„Stets lösungsorientiert, auch wenn sie auf der Gegenseite agiert. Hervorragende Erreichbarkeit und pünktliche Lieferung von Dienstleistungen. Außerdem sehr gute Koordinierung von Referenzkanzleien, wenn dies bei grenzüberschreitenden Transaktionen erforderlich ist. "</w:t>
                  </w:r>
                </w:p>
                <w:p>
                  <w:pPr>
                    <w:jc w:val="right"/>
                    <w:spacing w:after="300"/>
                  </w:pPr>
                  <w:r>
                    <w:rPr>
                      <w:lang w:val="de-DE"/>
                      <w:u w:val="none"/>
                      <w:i/>
                      <w:rFonts w:ascii="Georgia" w:hAnsi="Georgia" w:cs="Georgia"/>
                      <w:sz w:val="24"/>
                      <w:szCs w:val="24"/>
                    </w:rPr>
                    <w:t>Legal 500 Deutschland, 2025</w:t>
                  </w:r>
                </w:p>
              </w:tc>
            </w:tr>
            <w:tr>
              <w:tc>
                <w:tcPr>
                  <w:tcW w:w="3686.4" w:type="dxa"/>
                </w:tcPr>
                <w:p>
                  <w:pPr>
                    <w:spacing w:after="120"/>
                  </w:pPr>
                  <w:r>
                    <w:rPr>
                      <w:lang w:val="de-DE"/>
                      <w:rFonts w:ascii="Georgia" w:hAnsi="Georgia" w:cs="Georgia"/>
                      <w:u w:val="none"/>
                      <w:sz w:val="24"/>
                      <w:szCs w:val="24"/>
                      <w:color w:val="000000"/>
                    </w:rPr>
                    <w:t>„Carla Luh ist eine echte Kraft. Sie hat eine natürliche Fähigkeit, den Raum zu fesseln und das Geschäft in die richtige Richtung zu lenken."</w:t>
                  </w:r>
                </w:p>
                <w:p>
                  <w:pPr>
                    <w:jc w:val="right"/>
                    <w:spacing w:after="300"/>
                  </w:pPr>
                  <w:r>
                    <w:rPr>
                      <w:lang w:val="de-DE"/>
                      <w:u w:val="none"/>
                      <w:i/>
                      <w:rFonts w:ascii="Georgia" w:hAnsi="Georgia" w:cs="Georgia"/>
                      <w:sz w:val="24"/>
                      <w:szCs w:val="24"/>
                    </w:rPr>
                    <w:t>Chambers Germany, 2025</w:t>
                  </w:r>
                </w:p>
              </w:tc>
            </w:tr>
            <w:tr>
              <w:tc>
                <w:tcPr>
                  <w:tcW w:w="3686.4" w:type="dxa"/>
                </w:tcPr>
                <w:p>
                  <w:pPr>
                    <w:spacing w:after="120"/>
                  </w:pPr>
                  <w:r>
                    <w:rPr>
                      <w:lang w:val="de-DE"/>
                      <w:rFonts w:ascii="Georgia" w:hAnsi="Georgia" w:cs="Georgia"/>
                      <w:u w:val="none"/>
                      <w:sz w:val="24"/>
                      <w:szCs w:val="24"/>
                      <w:color w:val="000000"/>
                    </w:rPr>
                    <w:t>„Hervorragende Verhandlungsführerin mit außergewöhnlicher technischer Kompetenz“</w:t>
                  </w:r>
                </w:p>
                <w:p>
                  <w:pPr>
                    <w:jc w:val="right"/>
                    <w:spacing w:after="300"/>
                  </w:pPr>
                  <w:r>
                    <w:rPr>
                      <w:lang w:val="de-DE"/>
                      <w:u w:val="none"/>
                      <w:i/>
                      <w:rFonts w:ascii="Georgia" w:hAnsi="Georgia" w:cs="Georgia"/>
                      <w:sz w:val="24"/>
                      <w:szCs w:val="24"/>
                    </w:rPr>
                    <w:t>JUVE Handbuch, 2025/2026</w:t>
                  </w:r>
                </w:p>
              </w:tc>
            </w:tr>
            <w:tr>
              <w:tc>
                <w:tcPr>
                  <w:tcW w:w="3686.4" w:type="dxa"/>
                </w:tcPr>
                <w:p>
                  <w:pPr>
                    <w:spacing w:after="120"/>
                  </w:pPr>
                  <w:r>
                    <w:rPr>
                      <w:lang w:val="de-DE"/>
                      <w:rFonts w:ascii="Georgia" w:hAnsi="Georgia" w:cs="Georgia"/>
                      <w:u w:val="none"/>
                      <w:sz w:val="24"/>
                      <w:szCs w:val="24"/>
                      <w:color w:val="000000"/>
                    </w:rPr>
                    <w:t>„Carla Luh ist bei Infrastrukturprojekten sehr pragmatisch.“</w:t>
                  </w:r>
                </w:p>
                <w:p>
                  <w:pPr>
                    <w:jc w:val="right"/>
                    <w:spacing w:after="300"/>
                  </w:pPr>
                  <w:r>
                    <w:rPr>
                      <w:lang w:val="de-DE"/>
                      <w:u w:val="none"/>
                      <w:i/>
                      <w:rFonts w:ascii="Georgia" w:hAnsi="Georgia" w:cs="Georgia"/>
                      <w:sz w:val="24"/>
                      <w:szCs w:val="24"/>
                    </w:rPr>
                    <w:t>Mandant, Chambers Europe, 2024</w:t>
                  </w:r>
                </w:p>
              </w:tc>
            </w:tr>
            <w:tr>
              <w:tc>
                <w:tcPr>
                  <w:tcW w:w="3686.4" w:type="dxa"/>
                </w:tcPr>
                <w:p>
                  <w:pPr>
                    <w:spacing w:after="120"/>
                  </w:pPr>
                  <w:r>
                    <w:rPr>
                      <w:lang w:val="de-DE"/>
                      <w:rFonts w:ascii="Georgia" w:hAnsi="Georgia" w:cs="Georgia"/>
                      <w:u w:val="none"/>
                      <w:sz w:val="24"/>
                      <w:szCs w:val="24"/>
                      <w:color w:val="000000"/>
                    </w:rPr>
                    <w:t>„hoher Spezialisierungsgrad im Bereich Finanzierung von Infrastruktur- und Energieprojekten"</w:t>
                  </w:r>
                </w:p>
                <w:p>
                  <w:pPr>
                    <w:jc w:val="right"/>
                    <w:spacing w:after="300"/>
                  </w:pPr>
                  <w:r>
                    <w:rPr>
                      <w:lang w:val="de-DE"/>
                      <w:u w:val="none"/>
                      <w:i/>
                      <w:rFonts w:ascii="Georgia" w:hAnsi="Georgia" w:cs="Georgia"/>
                      <w:sz w:val="24"/>
                      <w:szCs w:val="24"/>
                    </w:rPr>
                    <w:t>Wettbewerber, JUVE Handbuch, 2023/2024</w:t>
                  </w:r>
                </w:p>
              </w:tc>
            </w:tr>
            <w:tr>
              <w:tc>
                <w:tcPr>
                  <w:tcW w:w="3686.4" w:type="dxa"/>
                </w:tcPr>
                <w:p>
                  <w:pPr>
                    <w:spacing w:after="120"/>
                  </w:pPr>
                  <w:r>
                    <w:rPr>
                      <w:lang w:val="de-DE"/>
                      <w:rFonts w:ascii="Georgia" w:hAnsi="Georgia" w:cs="Georgia"/>
                      <w:u w:val="none"/>
                      <w:sz w:val="24"/>
                      <w:szCs w:val="24"/>
                      <w:color w:val="000000"/>
                    </w:rPr>
                    <w:t>„Carla Luh agiert von den Büros in Hamburg und Frankfurt aus und ist eine exzellente Wahl für Finanzinvestoren und Unternehmen bei der Finanzierung von Projekten im Bereich der erneuerbaren Energien und der digitalen Infrastruktur in Deutschland und darüber hinaus.“</w:t>
                  </w:r>
                </w:p>
                <w:p>
                  <w:pPr>
                    <w:jc w:val="right"/>
                    <w:spacing w:after="300"/>
                  </w:pPr>
                  <w:r>
                    <w:rPr>
                      <w:lang w:val="de-DE"/>
                      <w:u w:val="none"/>
                      <w:i/>
                      <w:rFonts w:ascii="Georgia" w:hAnsi="Georgia" w:cs="Georgia"/>
                      <w:sz w:val="24"/>
                      <w:szCs w:val="24"/>
                    </w:rPr>
                    <w:t>Chambers Europe, 2023</w:t>
                  </w:r>
                </w:p>
              </w:tc>
            </w:tr>
            <w:tr>
              <w:tc>
                <w:tcPr>
                  <w:tcW w:w="3686.4" w:type="dxa"/>
                </w:tcPr>
                <w:p>
                  <w:pPr>
                    <w:spacing w:after="120"/>
                  </w:pPr>
                  <w:r>
                    <w:rPr>
                      <w:lang w:val="de-DE"/>
                      <w:rFonts w:ascii="Georgia" w:hAnsi="Georgia" w:cs="Georgia"/>
                      <w:u w:val="none"/>
                      <w:sz w:val="24"/>
                      <w:szCs w:val="24"/>
                      <w:color w:val="000000"/>
                    </w:rPr>
                    <w:t>„Carla Luh liefert zuverlässig zum vereinbarten Zeitpunkt und überzeugt auch durch ihre proaktive Arbeitsweise.“</w:t>
                  </w:r>
                </w:p>
                <w:p>
                  <w:pPr>
                    <w:jc w:val="right"/>
                    <w:spacing w:after="300"/>
                  </w:pPr>
                  <w:r>
                    <w:rPr>
                      <w:lang w:val="de-DE"/>
                      <w:u w:val="none"/>
                      <w:i/>
                      <w:rFonts w:ascii="Georgia" w:hAnsi="Georgia" w:cs="Georgia"/>
                      <w:sz w:val="24"/>
                      <w:szCs w:val="24"/>
                    </w:rPr>
                    <w:t>Mandant, Chambers Europe, 2023</w:t>
                  </w:r>
                </w:p>
              </w:tc>
            </w:tr>
            <w:tr>
              <w:tc>
                <w:tcPr>
                  <w:tcW w:w="3686.4" w:type="dxa"/>
                </w:tcPr>
                <w:p>
                  <w:pPr>
                    <w:spacing w:after="120"/>
                  </w:pPr>
                  <w:r>
                    <w:rPr>
                      <w:lang w:val="de-DE"/>
                      <w:rFonts w:ascii="Georgia" w:hAnsi="Georgia" w:cs="Georgia"/>
                      <w:u w:val="none"/>
                      <w:sz w:val="24"/>
                      <w:szCs w:val="24"/>
                      <w:color w:val="000000"/>
                    </w:rPr>
                    <w:t>„Carla taucht immer in die Details eines Projekts ein und unterstützt bei allen auftretenden Herausforderungen.“</w:t>
                  </w:r>
                </w:p>
                <w:p>
                  <w:pPr>
                    <w:jc w:val="right"/>
                    <w:spacing w:after="300"/>
                  </w:pPr>
                  <w:r>
                    <w:rPr>
                      <w:lang w:val="de-DE"/>
                      <w:u w:val="none"/>
                      <w:i/>
                      <w:rFonts w:ascii="Georgia" w:hAnsi="Georgia" w:cs="Georgia"/>
                      <w:sz w:val="24"/>
                      <w:szCs w:val="24"/>
                    </w:rPr>
                    <w:t>Mandant, Chambers Europe, 2023</w:t>
                  </w:r>
                </w:p>
              </w:tc>
            </w:tr>
            <w:tr>
              <w:tc>
                <w:tcPr>
                  <w:tcW w:w="3686.4" w:type="dxa"/>
                </w:tcPr>
                <w:p>
                  <w:pPr>
                    <w:spacing w:after="120"/>
                  </w:pPr>
                  <w:r>
                    <w:rPr>
                      <w:lang w:val="de-DE"/>
                      <w:rFonts w:ascii="Georgia" w:hAnsi="Georgia" w:cs="Georgia"/>
                      <w:u w:val="none"/>
                      <w:sz w:val="24"/>
                      <w:szCs w:val="24"/>
                      <w:color w:val="000000"/>
                    </w:rPr>
                    <w:t>„Carla Luh verfügt über eine ganz exzellente Lösungskompetenz bei rechtlichen Fragen.“</w:t>
                  </w:r>
                </w:p>
                <w:p>
                  <w:pPr>
                    <w:jc w:val="right"/>
                    <w:spacing w:after="300"/>
                  </w:pPr>
                  <w:r>
                    <w:rPr>
                      <w:lang w:val="de-DE"/>
                      <w:u w:val="none"/>
                      <w:i/>
                      <w:rFonts w:ascii="Georgia" w:hAnsi="Georgia" w:cs="Georgia"/>
                      <w:sz w:val="24"/>
                      <w:szCs w:val="24"/>
                    </w:rPr>
                    <w:t>Mandant, Legal 500 Deutschland, 2023</w:t>
                  </w:r>
                </w:p>
              </w:tc>
            </w:tr>
            <w:tr>
              <w:tc>
                <w:tcPr>
                  <w:tcW w:w="3686.4" w:type="dxa"/>
                </w:tcPr>
                <w:p>
                  <w:pPr>
                    <w:spacing w:after="120"/>
                  </w:pPr>
                  <w:r>
                    <w:rPr>
                      <w:lang w:val="de-DE"/>
                      <w:rFonts w:ascii="Georgia" w:hAnsi="Georgia" w:cs="Georgia"/>
                      <w:u w:val="none"/>
                      <w:sz w:val="24"/>
                      <w:szCs w:val="24"/>
                      <w:color w:val="000000"/>
                    </w:rPr>
                    <w:t>„Carla Luh bewahrt auch in schwierigen Situationen einen kühlen Kopf und findet immer den richtigen Lösungsansatz. Hervorzuheben ist ihre stetige Verfügbarkeit und Liefertreue.“</w:t>
                  </w:r>
                </w:p>
                <w:p>
                  <w:pPr>
                    <w:jc w:val="right"/>
                    <w:spacing w:after="300"/>
                  </w:pPr>
                  <w:r>
                    <w:rPr>
                      <w:lang w:val="de-DE"/>
                      <w:u w:val="none"/>
                      <w:i/>
                      <w:rFonts w:ascii="Georgia" w:hAnsi="Georgia" w:cs="Georgia"/>
                      <w:sz w:val="24"/>
                      <w:szCs w:val="24"/>
                    </w:rPr>
                    <w:t>Mandant, Legal 500 Deutschland, 2023</w:t>
                  </w:r>
                </w:p>
              </w:tc>
            </w:tr>
            <w:tr>
              <w:tc>
                <w:tcPr>
                  <w:tcW w:w="3686.4" w:type="dxa"/>
                </w:tcPr>
                <w:p>
                  <w:pPr>
                    <w:spacing w:after="120"/>
                  </w:pPr>
                  <w:r>
                    <w:rPr>
                      <w:lang w:val="de-DE"/>
                      <w:rFonts w:ascii="Georgia" w:hAnsi="Georgia" w:cs="Georgia"/>
                      <w:u w:val="none"/>
                      <w:sz w:val="24"/>
                      <w:szCs w:val="24"/>
                      <w:color w:val="000000"/>
                    </w:rPr>
                    <w:t>„Carla Luh ist auf die Finanzierung von Projekten in den Bereichen erneuerbare Energien und digitale Infrastruktur spezialisiert. Mandanten finden, dass „sie sehr freundlich, entschlossen und durchsetzungsfähig ist und sich komplexe Verträge schnell zu eigen machen kann“.</w:t>
                  </w:r>
                </w:p>
                <w:p>
                  <w:pPr>
                    <w:jc w:val="right"/>
                    <w:spacing w:after="300"/>
                  </w:pPr>
                  <w:r>
                    <w:rPr>
                      <w:lang w:val="de-DE"/>
                      <w:u w:val="none"/>
                      <w:i/>
                      <w:rFonts w:ascii="Georgia" w:hAnsi="Georgia" w:cs="Georgia"/>
                      <w:sz w:val="24"/>
                      <w:szCs w:val="24"/>
                    </w:rPr>
                    <w:t>Chambers Europe, 2022</w:t>
                  </w:r>
                </w:p>
              </w:tc>
            </w:tr>
            <w:tr>
              <w:tc>
                <w:tcPr>
                  <w:tcW w:w="3686.4" w:type="dxa"/>
                </w:tcPr>
                <w:p>
                  <w:pPr>
                    <w:spacing w:after="120"/>
                  </w:pPr>
                  <w:r>
                    <w:rPr>
                      <w:lang w:val="de-DE"/>
                      <w:rFonts w:ascii="Georgia" w:hAnsi="Georgia" w:cs="Georgia"/>
                      <w:u w:val="none"/>
                      <w:sz w:val="24"/>
                      <w:szCs w:val="24"/>
                      <w:color w:val="000000"/>
                    </w:rPr>
                    <w:t>„Carla Luh ist eine sehr kompetente, extrem pragmatische, lösungs- und abschlussorientierte Rechts-anwältin. Es ist sehr wohltuend, dass sie sich nicht selbst in den Mittelpunkt schiebt und sie sich ebenfalls nicht in rechtlichen Scheindiskussionen verliert.“</w:t>
                  </w:r>
                </w:p>
                <w:p>
                  <w:pPr>
                    <w:jc w:val="right"/>
                    <w:spacing w:after="300"/>
                  </w:pPr>
                  <w:r>
                    <w:rPr>
                      <w:lang w:val="de-DE"/>
                      <w:u w:val="none"/>
                      <w:i/>
                      <w:rFonts w:ascii="Georgia" w:hAnsi="Georgia" w:cs="Georgia"/>
                      <w:sz w:val="24"/>
                      <w:szCs w:val="24"/>
                    </w:rPr>
                    <w:t>Mandant, Legal 500 Deutschland, 2022</w:t>
                  </w:r>
                </w:p>
              </w:tc>
            </w:tr>
            <w:tr>
              <w:tc>
                <w:tcPr>
                  <w:tcW w:w="3686.4" w:type="dxa"/>
                </w:tcPr>
                <w:p>
                  <w:pPr>
                    <w:spacing w:after="120"/>
                  </w:pPr>
                  <w:r>
                    <w:rPr>
                      <w:lang w:val="de-DE"/>
                      <w:rFonts w:ascii="Georgia" w:hAnsi="Georgia" w:cs="Georgia"/>
                      <w:u w:val="none"/>
                      <w:sz w:val="24"/>
                      <w:szCs w:val="24"/>
                      <w:color w:val="000000"/>
                    </w:rPr>
                    <w:t>„Die Zusammenarbeit mit Hogan Lovells ist sehr angenehm. Ihre sehr gute Branchenkenntnis erlaubt es ihnen Zusammenhänge treffsicher zu analysieren und so das Mandanteninteresse bestmöglich zu vertreten. Dies, gepaart mit ihrer Effizienz und Schnelligkeit in der Bereitstellung von Textentwürfen, zeichnet die Kanzlei, insbesondere Carla Luh und ihr Team, aus.“</w:t>
                  </w:r>
                </w:p>
                <w:p>
                  <w:pPr>
                    <w:jc w:val="right"/>
                    <w:spacing w:after="300"/>
                  </w:pPr>
                  <w:r>
                    <w:rPr>
                      <w:lang w:val="de-DE"/>
                      <w:u w:val="none"/>
                      <w:i/>
                      <w:rFonts w:ascii="Georgia" w:hAnsi="Georgia" w:cs="Georgia"/>
                      <w:sz w:val="24"/>
                      <w:szCs w:val="24"/>
                    </w:rPr>
                    <w:t>Mandant, Legal 500 Deutschland, 2022</w:t>
                  </w:r>
                </w:p>
              </w:tc>
            </w:tr>
            <w:tr>
              <w:tc>
                <w:tcPr>
                  <w:tcW w:w="3686.4" w:type="dxa"/>
                </w:tcPr>
                <w:p>
                  <w:pPr>
                    <w:spacing w:after="120"/>
                  </w:pPr>
                  <w:r>
                    <w:rPr>
                      <w:lang w:val="de-DE"/>
                      <w:rFonts w:ascii="Georgia" w:hAnsi="Georgia" w:cs="Georgia"/>
                      <w:u w:val="none"/>
                      <w:sz w:val="24"/>
                      <w:szCs w:val="24"/>
                      <w:color w:val="000000"/>
                    </w:rPr>
                    <w:t>„Sehr gute Beratung, schnelle Antwortzeiten, pragmatisch und kreativ.“</w:t>
                  </w:r>
                </w:p>
                <w:p>
                  <w:pPr>
                    <w:jc w:val="right"/>
                    <w:spacing w:after="300"/>
                  </w:pPr>
                  <w:r>
                    <w:rPr>
                      <w:lang w:val="de-DE"/>
                      <w:u w:val="none"/>
                      <w:i/>
                      <w:rFonts w:ascii="Georgia" w:hAnsi="Georgia" w:cs="Georgia"/>
                      <w:sz w:val="24"/>
                      <w:szCs w:val="24"/>
                    </w:rPr>
                    <w:t>Mandant, JUVE Handbuch, 2021/2022</w:t>
                  </w:r>
                </w:p>
              </w:tc>
            </w:tr>
            <w:tr>
              <w:tc>
                <w:tcPr>
                  <w:tcW w:w="3686.4" w:type="dxa"/>
                </w:tcPr>
                <w:p>
                  <w:pPr>
                    <w:spacing w:after="120"/>
                  </w:pPr>
                  <w:r>
                    <w:rPr>
                      <w:lang w:val="de-DE"/>
                      <w:rFonts w:ascii="Georgia" w:hAnsi="Georgia" w:cs="Georgia"/>
                      <w:u w:val="none"/>
                      <w:sz w:val="24"/>
                      <w:szCs w:val="24"/>
                      <w:color w:val="000000"/>
                    </w:rPr>
                    <w:t>„Die Zusammenarbeit mit Carla Luh und ihrem Team ist erstklassig. Carla selbst leitet ein tolles Team. Sie ist nah dran an ihren Mandanten und versteht es ihre Mandanten mitzunehmen und zu vertreten. Dabei ist sie charmant und bestimmt zugleich. Sie versteht es Punkte durchzuholen. Sie verliert dabei nicht den Gesamtüberblick. Fachlich wie menschlich ist Carla eine erstklassige Anwältin.“</w:t>
                  </w:r>
                </w:p>
                <w:p>
                  <w:pPr>
                    <w:jc w:val="right"/>
                    <w:spacing w:after="300"/>
                  </w:pPr>
                  <w:r>
                    <w:rPr>
                      <w:lang w:val="de-DE"/>
                      <w:u w:val="none"/>
                      <w:i/>
                      <w:rFonts w:ascii="Georgia" w:hAnsi="Georgia" w:cs="Georgia"/>
                      <w:sz w:val="24"/>
                      <w:szCs w:val="24"/>
                    </w:rPr>
                    <w:t>Mandant, Legal 500 Deutschland, 2022</w:t>
                  </w:r>
                </w:p>
              </w:tc>
            </w:tr>
            <w:tr>
              <w:tc>
                <w:tcPr>
                  <w:tcW w:w="3686.4" w:type="dxa"/>
                </w:tcPr>
                <w:p>
                  <w:pPr>
                    <w:spacing w:after="120"/>
                  </w:pPr>
                  <w:r>
                    <w:rPr>
                      <w:lang w:val="de-DE"/>
                      <w:rFonts w:ascii="Georgia" w:hAnsi="Georgia" w:cs="Georgia"/>
                      <w:u w:val="none"/>
                      <w:sz w:val="24"/>
                      <w:szCs w:val="24"/>
                      <w:color w:val="000000"/>
                    </w:rPr>
                    <w:t>Mandanten schätzen an ihr, dass sie „über ausgezeichnete Erfahrung verfügt, diplomatisch ist und sehr verhandlungsstark“, und fügen hinzu, dass sie „die Führung übernimmt, um das Projekt voranzubringen, immer den Überblick behält und weiß, welche relevanten Schritte notwendig sind, um Herausforderungen effizient zu lösen."</w:t>
                  </w:r>
                </w:p>
                <w:p>
                  <w:pPr>
                    <w:jc w:val="right"/>
                    <w:spacing w:after="300"/>
                  </w:pPr>
                  <w:r>
                    <w:rPr>
                      <w:lang w:val="de-DE"/>
                      <w:u w:val="none"/>
                      <w:i/>
                      <w:rFonts w:ascii="Georgia" w:hAnsi="Georgia" w:cs="Georgia"/>
                      <w:sz w:val="24"/>
                      <w:szCs w:val="24"/>
                    </w:rPr>
                    <w:t>Chambers Europe, 2021</w:t>
                  </w:r>
                </w:p>
              </w:tc>
            </w:tr>
            <w:tr>
              <w:tc>
                <w:tcPr>
                  <w:tcW w:w="3686.4" w:type="dxa"/>
                </w:tcPr>
                <w:p>
                  <w:pPr>
                    <w:spacing w:after="120"/>
                  </w:pPr>
                  <w:r>
                    <w:rPr>
                      <w:lang w:val="de-DE"/>
                      <w:rFonts w:ascii="Georgia" w:hAnsi="Georgia" w:cs="Georgia"/>
                      <w:u w:val="none"/>
                      <w:sz w:val="24"/>
                      <w:szCs w:val="24"/>
                      <w:color w:val="000000"/>
                    </w:rPr>
                    <w:t>„Carla Luh unterscheidet sich im positiven Sinne zu Partnern in anderen Kanzleien. Großes Wissen über die Transaktionen und unglaublicher Antrieb.“</w:t>
                  </w:r>
                </w:p>
                <w:p>
                  <w:pPr>
                    <w:jc w:val="right"/>
                    <w:spacing w:after="300"/>
                  </w:pPr>
                  <w:r>
                    <w:rPr>
                      <w:lang w:val="de-DE"/>
                      <w:u w:val="none"/>
                      <w:i/>
                      <w:rFonts w:ascii="Georgia" w:hAnsi="Georgia" w:cs="Georgia"/>
                      <w:sz w:val="24"/>
                      <w:szCs w:val="24"/>
                    </w:rPr>
                    <w:t>Mandant, Legal 500 Deutschland, 2021</w:t>
                  </w:r>
                </w:p>
              </w:tc>
            </w:tr>
            <w:tr>
              <w:tc>
                <w:tcPr>
                  <w:tcW w:w="3686.4" w:type="dxa"/>
                </w:tcPr>
                <w:p>
                  <w:pPr>
                    <w:spacing w:after="120"/>
                  </w:pPr>
                  <w:r>
                    <w:rPr>
                      <w:lang w:val="de-DE"/>
                      <w:rFonts w:ascii="Georgia" w:hAnsi="Georgia" w:cs="Georgia"/>
                      <w:u w:val="none"/>
                      <w:sz w:val="24"/>
                      <w:szCs w:val="24"/>
                      <w:color w:val="000000"/>
                    </w:rPr>
                    <w:t>„Das von Carla Luh geleitete Team zeichnet sich in vielerlei Hinsicht aus. Neben dem detaillierten Wissen über die Transaktion bringt Carla auch ihre Begeisterung auf den Tisch. Wenn die Verhandlungen aus irgendeinem Grund einen Ausweg erreichen, führt Carla das Bankensyndikat mit sehr kreativen Lösungen an.“</w:t>
                  </w:r>
                </w:p>
                <w:p>
                  <w:pPr>
                    <w:jc w:val="right"/>
                    <w:spacing w:after="300"/>
                  </w:pPr>
                  <w:r>
                    <w:rPr>
                      <w:lang w:val="de-DE"/>
                      <w:u w:val="none"/>
                      <w:i/>
                      <w:rFonts w:ascii="Georgia" w:hAnsi="Georgia" w:cs="Georgia"/>
                      <w:sz w:val="24"/>
                      <w:szCs w:val="24"/>
                    </w:rPr>
                    <w:t>Mandant, Legal 500 Deutschland, 2021</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 w:numId="28">
    <w:abstractNumId w:val="27"/>
    <w:lvlOverride w:ilvl="0">
      <w:startOverride w:val="1"/>
    </w:lvlOverride>
  </w:num>
  <w:num w:numId="29">
    <w:abstractNumId w:val="28"/>
    <w:lvlOverride w:ilvl="0">
      <w:startOverride w:val="1"/>
    </w:lvlOverride>
  </w:num>
  <w:num w:numId="30">
    <w:abstractNumId w:val="29"/>
    <w:lvlOverride w:ilvl="0">
      <w:startOverride w:val="1"/>
    </w:lvlOverride>
  </w:num>
  <w:num w:numId="31">
    <w:abstractNumId w:val="30"/>
    <w:lvlOverride w:ilvl="0">
      <w:startOverride w:val="1"/>
    </w:lvlOverride>
  </w:num>
  <w:num w:numId="32">
    <w:abstractNumId w:val="31"/>
    <w:lvlOverride w:ilvl="0">
      <w:startOverride w:val="1"/>
    </w:lvlOverride>
  </w:num>
  <w:num w:numId="33">
    <w:abstractNumId w:val="3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5a61aeff-621a-4a95-b636-7612c12e5b18.jpeg" Id="Rbe3e3a442a8d4b5f" /><Relationship Type="http://schemas.openxmlformats.org/officeDocument/2006/relationships/hyperlink" Target="mailto:carla.luh@hoganlovells.com" TargetMode="External" Id="Raa067dcb41b148f0" /><Relationship Type="http://schemas.openxmlformats.org/officeDocument/2006/relationships/hyperlink" Target="https://mc-7c5ead77-4153-4f21-9a29-b0c7-cm.azurewebsites.net//de/service/banking-transactional" TargetMode="External" Id="R11fe09dc7f5842f8" /><Relationship Type="http://schemas.openxmlformats.org/officeDocument/2006/relationships/hyperlink" Target="https://mc-7c5ead77-4153-4f21-9a29-b0c7-cm.azurewebsites.net//de/service/real-estate" TargetMode="External" Id="Rac240dd811c04571" /><Relationship Type="http://schemas.openxmlformats.org/officeDocument/2006/relationships/hyperlink" Target="https://mc-7c5ead77-4153-4f21-9a29-b0c7-cm.azurewebsites.net//de/service/infrastructure-energy-resources-and-projects" TargetMode="External" Id="R7cbbb6b4a1f143a1" /><Relationship Type="http://schemas.openxmlformats.org/officeDocument/2006/relationships/hyperlink" Target="https://mc-7c5ead77-4153-4f21-9a29-b0c7-cm.azurewebsites.net//de/sector/energy" TargetMode="External" Id="R6bf7de5f63404e3b" /><Relationship Type="http://schemas.openxmlformats.org/officeDocument/2006/relationships/hyperlink" Target="https://mc-7c5ead77-4153-4f21-9a29-b0c7-cm.azurewebsites.net//de/sector/financial-institutions" TargetMode="External" Id="R06989af9f10d416e" /><Relationship Type="http://schemas.openxmlformats.org/officeDocument/2006/relationships/hyperlink" Target="https://mc-7c5ead77-4153-4f21-9a29-b0c7-cm.azurewebsites.net//de/sector/insurance" TargetMode="External" Id="R2c18e04beda445c6" /><Relationship Type="http://schemas.openxmlformats.org/officeDocument/2006/relationships/hyperlink" Target="https://mc-7c5ead77-4153-4f21-9a29-b0c7-cm.azurewebsites.net//de/sector/real-estate" TargetMode="External" Id="R40edb9ddfa6244fe"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