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odttf" ContentType="application/vnd.openxmlformats-officedocument.obfuscatedFont"/>
  <Default Extension="gif" ContentType="image/gif"/>
  <Default Extension="png" ContentType="image/png"/>
  <Default Extension="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PlainTable4"/>
        <w:tblW w:w="10080" w:type="dxa"/>
        <w:tblInd w:w="-630" w:type="dxa"/>
        <w:tblLayout w:type="fixed"/>
        <w:tblLook w:val="01E0" w:firstRow="1" w:lastRow="1" w:firstColumn="1" w:lastColumn="1" w:noHBand="0" w:noVBand="0"/>
      </w:tblPr>
      <w:tblGrid>
        <w:gridCol w:w="6096"/>
        <w:gridCol w:w="3984"/>
      </w:tblGrid>
      <w:tr w:rsidR="004A1494" w:rsidTr="00E14FC9">
        <w:trPr>
          <w:cnfStyle w:val="100000000000" w:firstRow="1" w:lastRow="0" w:firstColumn="0" w:lastColumn="0" w:oddVBand="0" w:evenVBand="0" w:oddHBand="0" w:evenHBand="0" w:firstRowFirstColumn="0" w:firstRowLastColumn="0" w:lastRowFirstColumn="0" w:lastRowLastColumn="0"/>
          <w:trHeight w:val="7200"/>
        </w:trPr>
        <w:tc>
          <w:tcPr>
            <w:cnfStyle w:val="001000000000" w:firstRow="0" w:lastRow="0" w:firstColumn="1" w:lastColumn="0" w:oddVBand="0" w:evenVBand="0" w:oddHBand="0" w:evenHBand="0" w:firstRowFirstColumn="0" w:firstRowLastColumn="0" w:lastRowFirstColumn="0" w:lastRowLastColumn="0"/>
            <w:tcW w:w="6096" w:type="dxa"/>
          </w:tcPr>
          <w:tbl>
            <w:tblPr>
              <w:tblStyle w:val="TableGrid"/>
              <w:tblpPr w:leftFromText="180" w:rightFromText="180" w:horzAnchor="page" w:tblpX="86" w:tblpY="22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_hllogo"/>
            </w:tblPr>
            <w:tblGrid>
              <w:gridCol w:w="1990"/>
            </w:tblGrid>
            <w:tr w:rsidR="004A1494" w:rsidTr="00DB1C60">
              <w:trPr>
                <w:trHeight w:val="1793"/>
              </w:trPr>
              <w:tc>
                <w:tcPr>
                  <w:tcW w:w="1990" w:type="dxa"/>
                </w:tcPr>
                <w:p w:rsidR="004A1494" w:rsidRDefault="004A1494" w:rsidP="00D01155">
                  <w:r>
                    <w:rPr>
                      <w:noProof/>
                    </w:rPr>
                    <w:drawing>
                      <wp:inline distT="0" distB="0" distL="0" distR="0" wp14:anchorId="02936506" wp14:editId="6B973CDE">
                        <wp:extent cx="110490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5228" cy="1105228"/>
                                </a:xfrm>
                                <a:prstGeom prst="rect">
                                  <a:avLst/>
                                </a:prstGeom>
                                <a:noFill/>
                                <a:ln>
                                  <a:noFill/>
                                </a:ln>
                              </pic:spPr>
                            </pic:pic>
                          </a:graphicData>
                        </a:graphic>
                      </wp:inline>
                    </w:drawing>
                  </w:r>
                </w:p>
              </w:tc>
            </w:tr>
          </w:tbl>
          <w:p w:rsidR="004A1494" w:rsidRDefault="004A1494" w:rsidP="00D01155">
            <w:pPr>
              <w:ind w:left="-383" w:firstLine="383"/>
            </w:pPr>
            <w:r>
              <w:t xml:space="preserve"> </w:t>
            </w: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D01155">
            <w:pPr>
              <w:ind w:left="-383" w:firstLine="383"/>
            </w:pPr>
          </w:p>
          <w:p w:rsidR="004A1494" w:rsidRDefault="004A1494" w:rsidP="00616C0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_BioName"/>
            </w:tblPr>
            <w:tblGrid>
              <w:gridCol w:w="5841"/>
            </w:tblGrid>
            <w:tr w:rsidR="004A1494" w:rsidTr="00FF36A3">
              <w:trPr>
                <w:trHeight w:val="565"/>
              </w:trPr>
              <w:tc>
                <w:tcPr>
                  <w:tcW w:w="5841" w:type="dxa"/>
                </w:tcPr>
                <w:p w:rsidR="004A1494" w:rsidRPr="00104DF8" w:rsidRDefault="004A1494" w:rsidP="00D01155">
                  <w:pPr>
                    <w:rPr>
                      <w:color w:val="2C5E4F"/>
                      <w:sz w:val="48"/>
                      <w:szCs w:val="48"/>
                    </w:rPr>
                  </w:pPr>
                  <w:r>
                    <w:rPr>
                      <w:lang w:val="en-US"/>
                      <w:rFonts w:ascii="Calibri" w:hAnsi="Calibri" w:cs="Calibri"/>
                      <w:u w:val="none"/>
                      <w:sz w:val="48"/>
                      <w:szCs w:val="48"/>
                      <w:color w:val="2C5E4F"/>
                    </w:rPr>
                    <w:t>Elizabeth Adams</w:t>
                  </w:r>
                </w:p>
              </w:tc>
            </w:tr>
          </w:tbl>
          <w:p w:rsidR="004A1494" w:rsidRPr="007F3AE2" w:rsidRDefault="004A1494" w:rsidP="00616C0C">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_Position"/>
            </w:tblPr>
            <w:tblGrid>
              <w:gridCol w:w="5841"/>
            </w:tblGrid>
            <w:tr w:rsidR="004A1494" w:rsidTr="00FF36A3">
              <w:trPr>
                <w:trHeight w:val="322"/>
              </w:trPr>
              <w:tc>
                <w:tcPr>
                  <w:tcW w:w="5841" w:type="dxa"/>
                </w:tcPr>
                <w:p w:rsidR="004A1494" w:rsidRPr="00C3219D" w:rsidRDefault="004A1494" w:rsidP="00D01155">
                  <w:pPr>
                    <w:rPr>
                      <w:sz w:val="28"/>
                      <w:szCs w:val="28"/>
                    </w:rPr>
                  </w:pPr>
                  <w:r>
                    <w:rPr>
                      <w:lang w:val="en-US"/>
                      <w:rFonts w:ascii="Georgia" w:hAnsi="Georgia" w:cs="Georgia"/>
                      <w:u w:val="none"/>
                      <w:sz w:val="32"/>
                      <w:szCs w:val="32"/>
                      <w:color w:val="000000"/>
                    </w:rPr>
                    <w:t>Senior Associate</w:t>
                  </w:r>
                </w:p>
              </w:tc>
            </w:tr>
          </w:tbl>
          <w:p w:rsidR="004A1494" w:rsidRPr="007F3AE2" w:rsidRDefault="004A1494" w:rsidP="00D54D47">
            <w:pPr>
              <w:rPr>
                <w:sz w:val="2"/>
                <w:szCs w:val="2"/>
              </w:rPr>
            </w:pPr>
          </w:p>
          <w:tbl>
            <w:tblPr>
              <w:tblStyle w:val="TableGrid"/>
              <w:tblW w:w="5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_OfficeLocation"/>
            </w:tblPr>
            <w:tblGrid>
              <w:gridCol w:w="5841"/>
            </w:tblGrid>
            <w:tr w:rsidR="004A1494" w:rsidTr="00DF0850">
              <w:trPr>
                <w:trHeight w:val="366"/>
              </w:trPr>
              <w:tc>
                <w:tcPr>
                  <w:tcW w:w="5841" w:type="dxa"/>
                </w:tcPr>
                <w:p w:rsidR="004A1494" w:rsidRPr="0094151E" w:rsidRDefault="00564264" w:rsidP="00D01155">
                  <w:pPr>
                    <w:rPr>
                      <w:rFonts w:cstheme="minorHAnsi"/>
                    </w:rPr>
                  </w:pPr>
                  <w:r>
                    <w:rPr>
                      <w:lang w:val="en-US"/>
                      <w:rFonts w:ascii="Georgia" w:hAnsi="Georgia" w:cs="Georgia"/>
                      <w:u w:val="none"/>
                      <w:sz w:val="28"/>
                      <w:szCs w:val="28"/>
                      <w:color w:val="000000"/>
                    </w:rPr>
                    <w:t>New York
</w:t>
                  </w:r>
                  <w:r>
                    <w:rPr>
                      <w:lang w:val="en-US"/>
                      <w:rFonts w:ascii="Georgia" w:hAnsi="Georgia" w:cs="Georgia"/>
                      <w:u w:val="none"/>
                      <w:sz w:val="28"/>
                      <w:szCs w:val="28"/>
                      <w:color w:val="000000"/>
                    </w:rPr>
                    <w:br/>
                  </w:r>
                </w:p>
              </w:tc>
            </w:tr>
          </w:tbl>
          <w:p w:rsidR="009D34CC" w:rsidRPr="009E0501" w:rsidRDefault="009D34CC" w:rsidP="009E0501">
            <w:pPr>
              <w:rPr>
                <w:sz w:val="2"/>
                <w:szCs w:val="2"/>
              </w:rPr>
            </w:pPr>
          </w:p>
          <w:p w:rsidR="009D34CC" w:rsidRPr="009E0501" w:rsidRDefault="009D34CC" w:rsidP="00D01155">
            <w:pPr>
              <w:ind w:left="-383" w:firstLine="383"/>
              <w:rPr>
                <w:sz w:val="2"/>
                <w:szCs w:val="2"/>
              </w:rPr>
            </w:pPr>
          </w:p>
          <w:p w:rsidR="009D34CC" w:rsidRPr="009E0501" w:rsidRDefault="009D34CC" w:rsidP="009E0501">
            <w:pPr>
              <w:rPr>
                <w:sz w:val="2"/>
                <w:szCs w:val="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5_Biography"/>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Biography</w:t>
                  </w:r>
                </w:p>
              </w:tc>
            </w:tr>
          </w:tbl>
          <w:p w:rsidR="004A1494" w:rsidRPr="00086676" w:rsidRDefault="004A1494"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6_BiographyContent"/>
            </w:tblPr>
            <w:tblGrid>
              <w:gridCol w:w="5841"/>
            </w:tblGrid>
            <w:tr w:rsidR="004A1494" w:rsidTr="00FF36A3">
              <w:tc>
                <w:tcPr>
                  <w:tcW w:w="5841" w:type="dxa"/>
                </w:tcPr>
                <w:p>
                  <w:pPr>
                    <w:spacing w:line="276"/>
                  </w:pPr>
                  <w:r>
                    <w:rPr>
                      <w:rFonts w:ascii="Georgia" w:hAnsi="Georgia" w:cs="Georgia"/>
                      <w:sz w:val="24"/>
                      <w:szCs w:val="24"/>
                    </w:rPr>
                    <w:t>Elizabeth Adams focuses her practice on the tax consequences of cross-border mergers and acquisitions, fund investments, joint ventures, and other transactional tax matters.</w:t>
                  </w:r>
                  <w:r>
                    <w:br/>
                  </w:r>
                </w:p>
                <w:p>
                  <w:pPr>
                    <w:spacing w:line="276"/>
                  </w:pPr>
                  <w:r>
                    <w:rPr>
                      <w:rFonts w:ascii="Georgia" w:hAnsi="Georgia" w:cs="Georgia"/>
                      <w:sz w:val="24"/>
                      <w:szCs w:val="24"/>
                    </w:rPr>
                    <w:t>Elizabeth advises on inbound and outbound tax-planning considerations, including treaty issues, effectively connected income (including under the Foreign Investment in Real Property Tax Act (FIRPTA)), the foreign tax credit, the Foreign Account Tax Compliance Act (FATCA), and the rules applicable to controlled foreign corporations and passive foreign investment companies.</w:t>
                  </w:r>
                  <w:r>
                    <w:br/>
                  </w:r>
                </w:p>
                <w:p>
                  <w:pPr>
                    <w:spacing w:line="276"/>
                  </w:pPr>
                  <w:r>
                    <w:rPr>
                      <w:rFonts w:ascii="Georgia" w:hAnsi="Georgia" w:cs="Georgia"/>
                      <w:sz w:val="24"/>
                      <w:szCs w:val="24"/>
                    </w:rPr>
                    <w:t>Elizabeth has experience advising private equity funds, sovereign wealth funds, foreign pension funds, non-U.S. banks, international sports organizations, high-net-worth individuals, and other foreign investors in the United States. She has also advised hedge funds, private equity funds, and real estate investment funds in connection with fund formation transactions, acquisitions, and restructurings.</w:t>
                  </w:r>
                  <w:r>
                    <w:br/>
                  </w:r>
                </w:p>
                <w:p>
                  <w:pPr>
                    <w:spacing w:line="276"/>
                  </w:pPr>
                  <w:r>
                    <w:rPr>
                      <w:rFonts w:ascii="Georgia" w:hAnsi="Georgia" w:cs="Georgia"/>
                      <w:sz w:val="24"/>
                      <w:szCs w:val="24"/>
                    </w:rPr>
                    <w:t>Elizabeth was previously seconded to the Hogan Lovells’ Paris office, where she came to intimately understand the European market and deal structures that are unique to France and other parts of Europe. This practical experience allows her to help clients efficiently navigate their tax and business concerns involving cross-border transactions between the United States and Europe. </w:t>
                  </w:r>
                  <w:r>
                    <w:br/>
                  </w:r>
                </w:p>
                <w:p>
                  <w:pPr>
                    <w:spacing w:line="276"/>
                  </w:pPr>
                  <w:r>
                    <w:rPr>
                      <w:rFonts w:ascii="Georgia" w:hAnsi="Georgia" w:cs="Georgia"/>
                      <w:sz w:val="24"/>
                      <w:szCs w:val="24"/>
                    </w:rPr>
                    <w:t>Prior to joining the firm, Elizabeth worked as a tax associate in the New York office of another global law firm. While in law school, Elizabeth served as the Executive Editor of the Virginia Journal of International Law and she received the Edwin S. Cohen Tax Prize given to the graduating student who has demonstrated, by the sustained excellence of his or her performance in tax courses, superior scholarship in the tax area. Elizabeth and her team also won the International and European Tax Moot Court Competition.</w:t>
                  </w:r>
                  <w:r>
                    <w:br/>
                  </w:r>
                </w:p>
              </w:tc>
            </w:tr>
          </w:tbl>
          <w:p w:rsidR="009D34CC" w:rsidRPr="00086676" w:rsidRDefault="009D34CC" w:rsidP="00A408AD">
            <w:pPr>
              <w:rPr>
                <w:sz w:val="4"/>
                <w:szCs w:val="4"/>
              </w:rPr>
            </w:pPr>
            <w:r>
              <w:rPr>
                <w:sz w:val="4"/>
                <w:szCs w:val="4"/>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7_Representative Experience"/>
            </w:tblPr>
            <w:tblGrid>
              <w:gridCol w:w="5841"/>
            </w:tblGrid>
            <w:tr w:rsidR="004A1494" w:rsidTr="00FF36A3">
              <w:tc>
                <w:tcPr>
                  <w:tcW w:w="5841" w:type="dxa"/>
                </w:tcPr>
                <w:p w:rsidR="004A1494" w:rsidRPr="00F90870" w:rsidRDefault="004A1494" w:rsidP="00D01155">
                  <w:pPr>
                    <w:rPr>
                      <w:color w:val="58A618"/>
                      <w:sz w:val="44"/>
                      <w:szCs w:val="44"/>
                    </w:rPr>
                  </w:pPr>
                  <w:r>
                    <w:rPr>
                      <w:lang w:val="en-US"/>
                      <w:rFonts w:ascii="Calibri" w:hAnsi="Calibri" w:cs="Calibri"/>
                      <w:u w:val="none"/>
                      <w:sz w:val="40"/>
                      <w:szCs w:val="40"/>
                      <w:color w:val="58A618"/>
                    </w:rPr>
                    <w:t>Representative experience</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8_RepresentativeExperienceContent"/>
            </w:tblPr>
            <w:tblGrid>
              <w:gridCol w:w="5841"/>
            </w:tblGrid>
            <w:tr w:rsidR="004A1494" w:rsidTr="00FF36A3">
              <w:tc>
                <w:tcPr>
                  <w:tcW w:w="5846.4" w:type="dxa"/>
                </w:tcPr>
                <w:p>
                  <w:pPr/>
                  <w:r>
                    <w:rPr>
                      <w:lang w:val="en-US"/>
                      <w:rFonts w:ascii="Georgia" w:hAnsi="Georgia" w:cs="Georgia"/>
                      <w:u w:val="none"/>
                      <w:sz w:val="24"/>
                      <w:szCs w:val="24"/>
                      <w:color w:val="000000"/>
                    </w:rPr>
                    <w:t>The Independents, a Paris-based luxury marketing group, on the acquisitions of 2x4 Inc., Lucien Pagès, Inca Productions, Sunshine, and others.</w:t>
                  </w:r>
                  <w:r>
                    <w:rPr>
                      <w:lang w:val="en-US"/>
                      <w:u w:val="none"/>
                    </w:rPr>
                    <w:br/>
                  </w:r>
                  <w:r>
                    <w:rPr>
                      <w:lang w:val="en-US"/>
                      <w:u w:val="none"/>
                    </w:rPr>
                    <w:br/>
                  </w:r>
                  <w:r>
                    <w:rPr>
                      <w:lang w:val="en-US"/>
                      <w:rFonts w:ascii="Georgia" w:hAnsi="Georgia" w:cs="Georgia"/>
                      <w:u w:val="none"/>
                      <w:sz w:val="24"/>
                      <w:szCs w:val="24"/>
                      <w:color w:val="000000"/>
                    </w:rPr>
                    <w:t>The International Cricket Council, in planning for the historic Men’s T20 World Cup 2024.</w:t>
                  </w:r>
                  <w:r>
                    <w:rPr>
                      <w:lang w:val="en-US"/>
                      <w:u w:val="none"/>
                    </w:rPr>
                    <w:br/>
                  </w:r>
                  <w:r>
                    <w:rPr>
                      <w:lang w:val="en-US"/>
                      <w:u w:val="none"/>
                    </w:rPr>
                    <w:br/>
                  </w:r>
                  <w:r>
                    <w:rPr>
                      <w:lang w:val="en-US"/>
                      <w:rFonts w:ascii="Georgia" w:hAnsi="Georgia" w:cs="Georgia"/>
                      <w:u w:val="none"/>
                      <w:sz w:val="24"/>
                      <w:szCs w:val="24"/>
                      <w:color w:val="000000"/>
                    </w:rPr>
                    <w:t>Reveal SAS, a Paris-based partnership ecosystem platform, on its merger with US-based Crossbeam.</w:t>
                  </w:r>
                  <w:r>
                    <w:rPr>
                      <w:lang w:val="en-US"/>
                      <w:u w:val="none"/>
                    </w:rPr>
                    <w:br/>
                  </w:r>
                  <w:r>
                    <w:rPr>
                      <w:lang w:val="en-US"/>
                      <w:u w:val="none"/>
                    </w:rPr>
                    <w:br/>
                  </w:r>
                  <w:r>
                    <w:rPr>
                      <w:lang w:val="en-US"/>
                      <w:rFonts w:ascii="Georgia" w:hAnsi="Georgia" w:cs="Georgia"/>
                      <w:u w:val="none"/>
                      <w:sz w:val="24"/>
                      <w:szCs w:val="24"/>
                      <w:color w:val="000000"/>
                    </w:rPr>
                    <w:t>Claranova SE, a publicly-traded French company and leader in e-commerce for personalized objects, on the sale of its PlanetArt business to General Atlantic.</w:t>
                  </w:r>
                  <w:r>
                    <w:rPr>
                      <w:lang w:val="en-US"/>
                      <w:u w:val="none"/>
                    </w:rPr>
                    <w:br/>
                  </w:r>
                  <w:r>
                    <w:rPr>
                      <w:lang w:val="en-US"/>
                      <w:u w:val="none"/>
                    </w:rPr>
                    <w:br/>
                  </w:r>
                  <w:r>
                    <w:rPr>
                      <w:lang w:val="en-US"/>
                      <w:rFonts w:ascii="Georgia" w:hAnsi="Georgia" w:cs="Georgia"/>
                      <w:u w:val="none"/>
                      <w:sz w:val="24"/>
                      <w:szCs w:val="24"/>
                      <w:color w:val="000000"/>
                    </w:rPr>
                    <w:t>Vade, a French company specializing in email security, on its sale to Hornetsecurity Group.</w:t>
                  </w:r>
                  <w:r>
                    <w:rPr>
                      <w:lang w:val="en-US"/>
                      <w:u w:val="none"/>
                    </w:rPr>
                    <w:br/>
                  </w:r>
                  <w:r>
                    <w:rPr>
                      <w:lang w:val="en-US"/>
                      <w:u w:val="none"/>
                    </w:rPr>
                    <w:br/>
                  </w:r>
                  <w:r>
                    <w:rPr>
                      <w:lang w:val="en-US"/>
                      <w:rFonts w:ascii="Georgia" w:hAnsi="Georgia" w:cs="Georgia"/>
                      <w:u w:val="none"/>
                      <w:sz w:val="24"/>
                      <w:szCs w:val="24"/>
                      <w:color w:val="000000"/>
                    </w:rPr>
                    <w:t>Ares Management, on its acquisition of a stake in the French SailGP team.</w:t>
                  </w:r>
                  <w:r>
                    <w:rPr>
                      <w:lang w:val="en-US"/>
                      <w:u w:val="none"/>
                    </w:rPr>
                    <w:br/>
                  </w:r>
                  <w:r>
                    <w:rPr>
                      <w:lang w:val="en-US"/>
                      <w:u w:val="none"/>
                    </w:rPr>
                    <w:br/>
                  </w:r>
                  <w:r>
                    <w:rPr>
                      <w:lang w:val="en-US"/>
                      <w:rFonts w:ascii="Georgia" w:hAnsi="Georgia" w:cs="Georgia"/>
                      <w:u w:val="none"/>
                      <w:sz w:val="24"/>
                      <w:szCs w:val="24"/>
                      <w:color w:val="000000"/>
                    </w:rPr>
                    <w:t>Fenway Sports Group, along with a consortium of team owners, in a multi-billion dollar partnership with PGA TOUR to launch a new commercial venture that will operate the PGA’s golf assets.</w:t>
                  </w:r>
                  <w:r>
                    <w:rPr>
                      <w:lang w:val="en-US"/>
                      <w:u w:val="none"/>
                    </w:rPr>
                    <w:br/>
                  </w:r>
                  <w:r>
                    <w:rPr>
                      <w:lang w:val="en-US"/>
                      <w:u w:val="none"/>
                    </w:rPr>
                    <w:br/>
                  </w:r>
                  <w:r>
                    <w:rPr>
                      <w:lang w:val="en-US"/>
                      <w:rFonts w:ascii="Georgia" w:hAnsi="Georgia" w:cs="Georgia"/>
                      <w:u w:val="none"/>
                      <w:sz w:val="24"/>
                      <w:szCs w:val="24"/>
                      <w:color w:val="000000"/>
                    </w:rPr>
                    <w:t>Ivanhoé Cambridge, on real estate investments in the United States such as Mount Auburn and Safely Store.</w:t>
                  </w:r>
                  <w:r>
                    <w:rPr>
                      <w:lang w:val="en-US"/>
                      <w:u w:val="none"/>
                    </w:rPr>
                    <w:br/>
                  </w:r>
                  <w:r>
                    <w:rPr>
                      <w:lang w:val="en-US"/>
                      <w:u w:val="none"/>
                    </w:rPr>
                    <w:br/>
                  </w:r>
                  <w:r>
                    <w:rPr>
                      <w:lang w:val="en-US"/>
                      <w:rFonts w:ascii="Georgia" w:hAnsi="Georgia" w:cs="Georgia"/>
                      <w:u w:val="none"/>
                      <w:sz w:val="24"/>
                      <w:szCs w:val="24"/>
                      <w:color w:val="000000"/>
                    </w:rPr>
                    <w:t>Azul Linhas Aéreas Brasileiras S.A, in a series of groundbreaking recapitalization and restructuring transactions.</w:t>
                  </w:r>
                  <w:r>
                    <w:rPr>
                      <w:lang w:val="en-US"/>
                      <w:u w:val="none"/>
                    </w:rPr>
                    <w:br/>
                  </w:r>
                  <w:r>
                    <w:rPr>
                      <w:lang w:val="en-US"/>
                      <w:u w:val="none"/>
                    </w:rPr>
                    <w:br/>
                  </w:r>
                  <w:r>
                    <w:rPr>
                      <w:lang w:val="en-US"/>
                      <w:rFonts w:ascii="Georgia" w:hAnsi="Georgia" w:cs="Georgia"/>
                      <w:u w:val="none"/>
                      <w:sz w:val="24"/>
                      <w:szCs w:val="24"/>
                      <w:color w:val="000000"/>
                    </w:rPr>
                    <w:t>Certain shareholders of vLex, a Spanish AI global legal research platform, on its US$1 billion acquisition by Clio.</w:t>
                  </w:r>
                  <w:r>
                    <w:rPr>
                      <w:lang w:val="en-US"/>
                      <w:u w:val="none"/>
                    </w:rPr>
                    <w:br/>
                  </w:r>
                  <w:r>
                    <w:rPr>
                      <w:lang w:val="en-US"/>
                      <w:u w:val="none"/>
                    </w:rPr>
                    <w:br/>
                  </w:r>
                  <w:r>
                    <w:rPr>
                      <w:lang w:val="en-US"/>
                      <w:rFonts w:ascii="Georgia" w:hAnsi="Georgia" w:cs="Georgia"/>
                      <w:u w:val="none"/>
                      <w:sz w:val="24"/>
                      <w:szCs w:val="24"/>
                      <w:color w:val="000000"/>
                    </w:rPr>
                    <w:t>Bureau Veritas on its sale to Mérieux NutriSciences Corporation.</w:t>
                  </w:r>
                  <w:r>
                    <w:rPr>
                      <w:lang w:val="en-US"/>
                      <w:u w:val="none"/>
                    </w:rPr>
                    <w:br/>
                  </w:r>
                  <w:r>
                    <w:rPr>
                      <w:lang w:val="en-US"/>
                      <w:u w:val="none"/>
                    </w:rPr>
                    <w:br/>
                  </w:r>
                  <w:r>
                    <w:rPr>
                      <w:lang w:val="en-US"/>
                      <w:rFonts w:ascii="Georgia" w:hAnsi="Georgia" w:cs="Georgia"/>
                      <w:u w:val="none"/>
                      <w:sz w:val="24"/>
                      <w:szCs w:val="24"/>
                      <w:color w:val="000000"/>
                    </w:rPr>
                    <w:t>Pantheon on numerous secondaries investments.</w:t>
                  </w:r>
                  <w:r>
                    <w:rPr>
                      <w:lang w:val="en-US"/>
                      <w:u w:val="none"/>
                    </w:rPr>
                    <w:br/>
                  </w:r>
                  <w:r>
                    <w:rPr>
                      <w:lang w:val="en-US"/>
                      <w:u w:val="none"/>
                    </w:rPr>
                    <w:br/>
                  </w:r>
                  <w:r>
                    <w:rPr>
                      <w:lang w:val="en-US"/>
                      <w:rFonts w:ascii="Georgia" w:hAnsi="Georgia" w:cs="Georgia"/>
                      <w:u w:val="none"/>
                      <w:sz w:val="24"/>
                      <w:szCs w:val="24"/>
                      <w:color w:val="000000"/>
                    </w:rPr>
                    <w:t>Grace Therapeutics, Inc., a late-stage biopharma company, on a novel two-step re-domestication from Quebec, Canada to British Columbia, Canada to the state of Delaware.</w:t>
                  </w:r>
                  <w:r>
                    <w:rPr>
                      <w:lang w:val="en-US"/>
                      <w:u w:val="none"/>
                    </w:rPr>
                    <w:br/>
                  </w:r>
                  <w:r>
                    <w:rPr>
                      <w:lang w:val="en-US"/>
                      <w:u w:val="none"/>
                    </w:rPr>
                    <w:br/>
                  </w:r>
                  <w:r>
                    <w:rPr>
                      <w:lang w:val="en-US"/>
                      <w:rFonts w:ascii="Georgia" w:hAnsi="Georgia" w:cs="Georgia"/>
                      <w:u w:val="none"/>
                      <w:sz w:val="24"/>
                      <w:szCs w:val="24"/>
                      <w:color w:val="000000"/>
                    </w:rPr>
                    <w:t>Various high-net-worth individuals, on tax residency questions under treaties entered into by the United States and other nations.</w:t>
                  </w:r>
                  <w:r>
                    <w:rPr>
                      <w:lang w:val="en-US"/>
                      <w:u w:val="none"/>
                    </w:rPr>
                    <w:br/>
                  </w:r>
                  <w:r>
                    <w:rPr>
                      <w:lang w:val="en-US"/>
                      <w:u w:val="none"/>
                    </w:rPr>
                    <w:br/>
                  </w:r>
                  <w:r>
                    <w:rPr>
                      <w:lang w:val="en-US"/>
                      <w:rFonts w:ascii="Georgia" w:hAnsi="Georgia" w:cs="Georgia"/>
                      <w:u w:val="none"/>
                      <w:sz w:val="24"/>
                      <w:szCs w:val="24"/>
                      <w:color w:val="000000"/>
                    </w:rPr>
                    <w:t>A foreign sovereign, in establishing its first ever sovereign wealth fund.</w:t>
                  </w:r>
                </w:p>
              </w:tc>
            </w:tr>
          </w:tbl>
          <w:p w:rsidR="004A1494"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9_Awards and ranking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Awards and rankings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0_AwardsandrankingsList"/>
            </w:tblPr>
            <w:tblGrid>
              <w:gridCol w:w="5841"/>
            </w:tblGrid>
            <w:tr>
              <w:tc>
                <w:tcPr>
                  <w:tcW w:w="5846.4" w:type="dxa"/>
                </w:tcPr>
                <w:p>
                  <w:pPr/>
                </w:p>
                <w:p>
                  <w:pPr>
                    <w:numPr>
                      <w:ilvl w:val="0"/>
                      <w:numId w:val="4"/>
                    </w:numPr>
                    <w:spacing w:after="0"/>
                  </w:pPr>
                  <w:r>
                    <w:rPr>
                      <w:rFonts w:ascii="Georgia" w:hAnsi="Georgia" w:cs="Georgia"/>
                      <w:sz w:val="24"/>
                      <w:szCs w:val="24"/>
                    </w:rPr>
                    <w:t xml:space="preserve">Salzburg Cutler Law Fellow, </w:t>
                  </w:r>
                  <w:r>
                    <w:rPr>
                      <w:lang w:val="en-US"/>
                      <w:rFonts w:ascii="Georgia" w:hAnsi="Georgia" w:cs="Georgia"/>
                      <w:i/>
                      <w:u w:val="none"/>
                      <w:sz w:val="24"/>
                      <w:szCs w:val="24"/>
                      <w:color w:val="000000"/>
                    </w:rPr>
                    <w:t>Salzburg Global Seminar</w:t>
                  </w:r>
                  <w:r>
                    <w:rPr>
                      <w:rFonts w:ascii="Georgia" w:hAnsi="Georgia" w:cs="Georgia"/>
                      <w:sz w:val="24"/>
                      <w:szCs w:val="24"/>
                    </w:rPr>
                    <w:t>, 2018</w:t>
                  </w:r>
                </w:p>
              </w:tc>
            </w:tr>
            <w:tr>
              <w:tc>
                <w:tcPr>
                  <w:tcW w:w="5846.4" w:type="dxa"/>
                </w:tcPr>
                <w:p>
                  <w:pPr/>
                </w:p>
                <w:p>
                  <w:pPr>
                    <w:numPr>
                      <w:ilvl w:val="0"/>
                      <w:numId w:val="5"/>
                    </w:numPr>
                    <w:spacing w:after="0"/>
                  </w:pPr>
                  <w:r>
                    <w:rPr>
                      <w:rFonts w:ascii="Georgia" w:hAnsi="Georgia" w:cs="Georgia"/>
                      <w:sz w:val="24"/>
                      <w:szCs w:val="24"/>
                    </w:rPr>
                    <w:t xml:space="preserve">Edwin S. Cohen Tax Prize, </w:t>
                  </w:r>
                  <w:r>
                    <w:rPr>
                      <w:lang w:val="en-US"/>
                      <w:rFonts w:ascii="Georgia" w:hAnsi="Georgia" w:cs="Georgia"/>
                      <w:i/>
                      <w:u w:val="none"/>
                      <w:sz w:val="24"/>
                      <w:szCs w:val="24"/>
                      <w:color w:val="000000"/>
                    </w:rPr>
                    <w:t>University of Virginia School of Law</w:t>
                  </w:r>
                  <w:r>
                    <w:rPr>
                      <w:rFonts w:ascii="Georgia" w:hAnsi="Georgia" w:cs="Georgia"/>
                      <w:sz w:val="24"/>
                      <w:szCs w:val="24"/>
                    </w:rPr>
                    <w:t>, 2019</w:t>
                  </w:r>
                </w:p>
              </w:tc>
            </w:tr>
          </w:tbl>
          <w:p>
            <w:pPr/>
          </w:p>
          <w:p w:rsidR="009D34CC" w:rsidRPr="00086676" w:rsidRDefault="009D34CC" w:rsidP="009E0501">
            <w:pPr>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1_Latest thinking and events"/>
            </w:tblPr>
            <w:tblGrid>
              <w:gridCol w:w="5841"/>
            </w:tblGrid>
            <w:tr w:rsidR="004A1494" w:rsidTr="00FF36A3">
              <w:tc>
                <w:tcPr>
                  <w:tcW w:w="5841" w:type="dxa"/>
                </w:tcPr>
                <w:p w:rsidR="004A1494" w:rsidRPr="00F90870" w:rsidRDefault="004A1494" w:rsidP="00D01155">
                  <w:pPr>
                    <w:rPr>
                      <w:sz w:val="44"/>
                      <w:szCs w:val="44"/>
                    </w:rPr>
                  </w:pPr>
                  <w:r>
                    <w:rPr>
                      <w:lang w:val="en-US"/>
                      <w:rFonts w:ascii="Calibri" w:hAnsi="Calibri" w:cs="Calibri"/>
                      <w:u w:val="none"/>
                      <w:sz w:val="40"/>
                      <w:szCs w:val="40"/>
                      <w:color w:val="58A618"/>
                    </w:rPr>
                    <w:t>Latest thinking and events</w:t>
                  </w:r>
                </w:p>
              </w:tc>
            </w:tr>
          </w:tbl>
          <w:p w:rsidR="004A1494" w:rsidRPr="00086676" w:rsidRDefault="004A1494" w:rsidP="00D01155">
            <w:pPr>
              <w:ind w:left="-383" w:firstLine="383"/>
              <w:rPr>
                <w:sz w:val="4"/>
                <w:szCs w:val="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2_LatestthinkingandeventsList"/>
            </w:tblPr>
            <w:tblGrid>
              <w:gridCol w:w="5841"/>
            </w:tblGrid>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management of vLex on its US$1 billion sale to Clio</w:t>
                  </w:r>
                  <w:r>
                    <w:rPr>
                      <w:rFonts w:ascii="Georgia" w:hAnsi="Georgia" w:cs="Georgia"/>
                      <w:sz w:val="20"/>
                      <w:szCs w:val="20"/>
                    </w:rPr>
                    <w:br/>
                  </w:r>
                  <w:r>
                    <w:rPr>
                      <w:rFonts w:ascii="Georgia" w:hAnsi="Georgia" w:cs="Georgia"/>
                      <w:sz w:val="20"/>
                      <w:szCs w:val="20"/>
                    </w:rPr>
                    <w:t>02 July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represents Ares Management in its acquisition of stake in France SailGP Team</w:t>
                  </w:r>
                  <w:r>
                    <w:rPr>
                      <w:rFonts w:ascii="Georgia" w:hAnsi="Georgia" w:cs="Georgia"/>
                      <w:sz w:val="20"/>
                      <w:szCs w:val="20"/>
                    </w:rPr>
                    <w:br/>
                  </w:r>
                  <w:r>
                    <w:rPr>
                      <w:rFonts w:ascii="Georgia" w:hAnsi="Georgia" w:cs="Georgia"/>
                      <w:sz w:val="20"/>
                      <w:szCs w:val="20"/>
                    </w:rPr>
                    <w:t>20 June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Boundary Street in acquisition by Stonepeak</w:t>
                  </w:r>
                  <w:r>
                    <w:rPr>
                      <w:rFonts w:ascii="Georgia" w:hAnsi="Georgia" w:cs="Georgia"/>
                      <w:sz w:val="20"/>
                      <w:szCs w:val="20"/>
                    </w:rPr>
                    <w:br/>
                  </w:r>
                  <w:r>
                    <w:rPr>
                      <w:rFonts w:ascii="Georgia" w:hAnsi="Georgia" w:cs="Georgia"/>
                      <w:sz w:val="20"/>
                      <w:szCs w:val="20"/>
                    </w:rPr>
                    <w:t>21 January 2025</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Guides Mind Medicine Inc. on its US$75m Underwritten Public Offering</w:t>
                  </w:r>
                  <w:r>
                    <w:rPr>
                      <w:rFonts w:ascii="Georgia" w:hAnsi="Georgia" w:cs="Georgia"/>
                      <w:sz w:val="20"/>
                      <w:szCs w:val="20"/>
                    </w:rPr>
                    <w:br/>
                  </w:r>
                  <w:r>
                    <w:rPr>
                      <w:rFonts w:ascii="Georgia" w:hAnsi="Georgia" w:cs="Georgia"/>
                      <w:sz w:val="20"/>
                      <w:szCs w:val="20"/>
                    </w:rPr>
                    <w:t>13 August 2024</w:t>
                  </w:r>
                </w:p>
              </w:tc>
            </w:tr>
            <w:tr>
              <w:tc>
                <w:tcPr>
                  <w:tcW w:w="5846.4" w:type="dxa"/>
                </w:tcPr>
                <w:p>
                  <w:pPr>
                    <w:spacing w:after="220"/>
                  </w:pPr>
                  <w:r>
                    <w:rPr>
                      <w:lang w:val="en-US"/>
                      <w:rFonts w:ascii="Georgia" w:hAnsi="Georgia" w:cs="Georgia"/>
                      <w:u w:val="none"/>
                      <w:sz w:val="24"/>
                      <w:szCs w:val="24"/>
                      <w:color w:val="58A618"/>
                    </w:rPr>
                    <w:t>Press releases</w:t>
                  </w:r>
                  <w:r>
                    <w:rPr>
                      <w:rFonts w:ascii="Georgia" w:hAnsi="Georgia" w:cs="Georgia"/>
                      <w:sz w:val="24"/>
                      <w:szCs w:val="24"/>
                    </w:rPr>
                    <w:br/>
                  </w:r>
                  <w:r>
                    <w:rPr>
                      <w:rFonts w:ascii="Georgia" w:hAnsi="Georgia" w:cs="Georgia"/>
                      <w:sz w:val="24"/>
                      <w:szCs w:val="24"/>
                    </w:rPr>
                    <w:t>Hogan Lovells advises CatalYm on a USD 150 million venture capital funding round</w:t>
                  </w:r>
                  <w:r>
                    <w:rPr>
                      <w:rFonts w:ascii="Georgia" w:hAnsi="Georgia" w:cs="Georgia"/>
                      <w:sz w:val="20"/>
                      <w:szCs w:val="20"/>
                    </w:rPr>
                    <w:br/>
                  </w:r>
                  <w:r>
                    <w:rPr>
                      <w:rFonts w:ascii="Georgia" w:hAnsi="Georgia" w:cs="Georgia"/>
                      <w:sz w:val="20"/>
                      <w:szCs w:val="20"/>
                    </w:rPr>
                    <w:t>29 July 2024</w:t>
                  </w:r>
                </w:p>
              </w:tc>
            </w:tr>
            <w:tr>
              <w:tc>
                <w:tcPr>
                  <w:tcW w:w="5846.4" w:type="dxa"/>
                </w:tcPr>
                <w:p>
                  <w:pPr>
                    <w:spacing w:after="220"/>
                  </w:pPr>
                  <w:r>
                    <w:rPr>
                      <w:lang w:val="en-US"/>
                      <w:rFonts w:ascii="Georgia" w:hAnsi="Georgia" w:cs="Georgia"/>
                      <w:u w:val="none"/>
                      <w:sz w:val="24"/>
                      <w:szCs w:val="24"/>
                      <w:color w:val="58A618"/>
                    </w:rPr>
                    <w:t>Insights and Analysis</w:t>
                  </w:r>
                  <w:r>
                    <w:rPr>
                      <w:rFonts w:ascii="Georgia" w:hAnsi="Georgia" w:cs="Georgia"/>
                      <w:sz w:val="24"/>
                      <w:szCs w:val="24"/>
                    </w:rPr>
                    <w:br/>
                  </w:r>
                  <w:r>
                    <w:rPr>
                      <w:rFonts w:ascii="Georgia" w:hAnsi="Georgia" w:cs="Georgia"/>
                      <w:sz w:val="24"/>
                      <w:szCs w:val="24"/>
                    </w:rPr>
                    <w:t>IRS finalizes proposed regulations applying to digital assets</w:t>
                  </w:r>
                  <w:r>
                    <w:rPr>
                      <w:rFonts w:ascii="Georgia" w:hAnsi="Georgia" w:cs="Georgia"/>
                      <w:sz w:val="20"/>
                      <w:szCs w:val="20"/>
                    </w:rPr>
                    <w:br/>
                  </w:r>
                  <w:r>
                    <w:rPr>
                      <w:rFonts w:ascii="Georgia" w:hAnsi="Georgia" w:cs="Georgia"/>
                      <w:sz w:val="20"/>
                      <w:szCs w:val="20"/>
                    </w:rPr>
                    <w:t>23 July 2024</w:t>
                  </w:r>
                </w:p>
              </w:tc>
            </w:tr>
          </w:tbl>
          <w:p w:rsidR="004A1494" w:rsidRPr="000F40F9" w:rsidRDefault="004A1494" w:rsidP="00D01155">
            <w:pPr>
              <w:ind w:left="-383" w:firstLine="383"/>
              <w:rPr>
                <w:sz w:val="8"/>
                <w:szCs w:val="8"/>
              </w:rPr>
            </w:pPr>
          </w:p>
        </w:tc>
        <w:tc>
          <w:tcPr>
            <w:cnfStyle w:val="000100000000" w:firstRow="0" w:lastRow="0" w:firstColumn="0" w:lastColumn="1" w:oddVBand="0" w:evenVBand="0" w:oddHBand="0" w:evenHBand="0" w:firstRowFirstColumn="0" w:firstRowLastColumn="0" w:lastRowFirstColumn="0" w:lastRowLastColumn="0"/>
            <w:tcW w:w="3984" w:type="dxa"/>
          </w:tcPr>
          <w:p w:rsidR="004A1494" w:rsidRDefault="004A1494" w:rsidP="004A1494">
            <w:pPr>
              <w:ind w:right="-1008"/>
            </w:pPr>
          </w:p>
          <w:tbl>
            <w:tblPr>
              <w:tblStyle w:val="TableGrid"/>
              <w:tblW w:w="3701"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3_BioImage"/>
            </w:tblPr>
            <w:tblGrid>
              <w:gridCol w:w="3701"/>
            </w:tblGrid>
            <w:tr w:rsidR="004A1494" w:rsidTr="0081713D">
              <w:trPr>
                <w:trHeight w:val="3506"/>
              </w:trPr>
              <w:tc>
                <w:tcPr>
                  <w:tcW w:w="3701" w:type="dxa"/>
                </w:tcPr>
                <w:p w:rsidR="004A1494" w:rsidRDefault="00B4431E">
                  <w:r xmlns:w="http://schemas.openxmlformats.org/wordprocessingml/2006/main">
                    <drawing xmlns="http://schemas.openxmlformats.org/wordprocessingml/2006/main">
                      <wp:inline xmlns:wp="http://schemas.openxmlformats.org/drawingml/2006/wordprocessingDrawing" distT="0" distB="0" distL="0" distR="0">
                        <wp:extent cx="2190980" cy="2190980"/>
                        <wp:effectExtent l="0" t="0" r="0" b="0"/>
                        <wp:docPr id="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fee50cc0244a01"/>
                                <a:stretch>
                                  <a:fillRect/>
                                </a:stretch>
                              </pic:blipFill>
                              <pic:spPr>
                                <a:xfrm>
                                  <a:off x="0" y="0"/>
                                  <a:ext cx="2190980" cy="2190980"/>
                                </a:xfrm>
                                <a:prstGeom prst="rect">
                                  <a:avLst/>
                                </a:prstGeom>
                              </pic:spPr>
                            </pic:pic>
                          </a:graphicData>
                        </a:graphic>
                      </wp:inline>
                    </drawing>
                  </w:r>
                </w:p>
              </w:tc>
            </w:tr>
          </w:tbl>
          <w:p w:rsidR="004A1494" w:rsidRPr="00611079" w:rsidRDefault="004A1494">
            <w:pPr>
              <w:rPr>
                <w:sz w:val="16"/>
                <w:szCs w:val="16"/>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4_Phone"/>
            </w:tblPr>
            <w:tblGrid>
              <w:gridCol w:w="3684"/>
            </w:tblGrid>
            <w:tr w:rsidR="004A1494" w:rsidTr="008F5988">
              <w:tc>
                <w:tcPr>
                  <w:tcW w:w="3684" w:type="dxa"/>
                </w:tcPr>
                <w:p w:rsidR="004A1494" w:rsidRPr="004F5D1F" w:rsidRDefault="004A1494">
                  <w:pPr>
                    <w:rPr>
                      <w:sz w:val="36"/>
                      <w:szCs w:val="36"/>
                    </w:rPr>
                  </w:pPr>
                  <w:r>
                    <w:rPr>
                      <w:lang w:val="en-US"/>
                      <w:rFonts w:ascii="Georgia" w:hAnsi="Georgia" w:cs="Georgia"/>
                      <w:u w:val="none"/>
                      <w:sz w:val="36"/>
                      <w:szCs w:val="36"/>
                      <w:color w:val="000000"/>
                    </w:rPr>
                    <w:t>Phone</w:t>
                  </w:r>
                </w:p>
              </w:tc>
            </w:tr>
          </w:tbl>
          <w:p w:rsidR="004A1494" w:rsidRPr="00F20A7A" w:rsidRDefault="00F20A7A">
            <w:pPr>
              <w:rPr>
                <w:sz w:val="4"/>
                <w:szCs w:val="4"/>
              </w:rPr>
            </w:pPr>
            <w:r>
              <w:t xml:space="preserve">          </w:t>
            </w: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5_PhoneList"/>
            </w:tblPr>
            <w:tblGrid>
              <w:gridCol w:w="3684"/>
            </w:tblGrid>
            <w:tr>
              <w:tc>
                <w:tcPr>
                  <w:tcW w:w="3686.4" w:type="dxa"/>
                </w:tcPr>
                <w:p>
                  <w:pPr>
                    <w:spacing w:after="40"/>
                  </w:pPr>
                  <w:r>
                    <w:rPr>
                      <w:lang w:val="en-US"/>
                      <w:rFonts w:ascii="Georgia" w:hAnsi="Georgia" w:cs="Georgia"/>
                      <w:u w:val="none"/>
                      <w:sz w:val="24"/>
                      <w:szCs w:val="24"/>
                      <w:color w:val="000000"/>
                    </w:rPr>
                    <w:t>+1 202 804 7863</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6_Fax"/>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Fax</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7_FaxList"/>
            </w:tblPr>
            <w:tblGrid>
              <w:gridCol w:w="3684"/>
            </w:tblGrid>
            <w:tr>
              <w:tc>
                <w:tcPr>
                  <w:tcW w:w="3686.4" w:type="dxa"/>
                </w:tcPr>
                <w:p>
                  <w:pPr>
                    <w:spacing w:after="40"/>
                  </w:pPr>
                  <w:r>
                    <w:rPr>
                      <w:lang w:val="en-US"/>
                      <w:rFonts w:ascii="Georgia" w:hAnsi="Georgia" w:cs="Georgia"/>
                      <w:u w:val="none"/>
                      <w:sz w:val="24"/>
                      <w:szCs w:val="24"/>
                      <w:color w:val="000000"/>
                    </w:rPr>
                    <w:t>+1 212 918 3100</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8_Email"/>
            </w:tblPr>
            <w:tblGrid>
              <w:gridCol w:w="3684"/>
            </w:tblGrid>
            <w:tr w:rsidR="004A1494" w:rsidTr="00FF36A3">
              <w:tc>
                <w:tcPr>
                  <w:tcW w:w="3684" w:type="dxa"/>
                </w:tcPr>
                <w:p w:rsidR="004A1494" w:rsidRPr="004F5D1F" w:rsidRDefault="004A1494">
                  <w:pPr>
                    <w:rPr>
                      <w:sz w:val="36"/>
                      <w:szCs w:val="36"/>
                    </w:rPr>
                  </w:pPr>
                  <w:r>
                    <w:rPr>
                      <w:lang w:val="en-US"/>
                      <w:rFonts w:ascii="Georgia" w:hAnsi="Georgia" w:cs="Georgia"/>
                      <w:u w:val="none"/>
                      <w:sz w:val="36"/>
                      <w:szCs w:val="36"/>
                      <w:color w:val="000000"/>
                    </w:rPr>
                    <w:t>Email</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19_email@email.com"/>
            </w:tblPr>
            <w:tblGrid>
              <w:gridCol w:w="3684"/>
            </w:tblGrid>
            <w:tr w:rsidR="004A1494" w:rsidTr="00222681">
              <w:tc>
                <w:tcPr>
                  <w:tcW w:w="3684" w:type="dxa"/>
                </w:tcPr>
                <w:p w:rsidR="004A1494" w:rsidRDefault="004A1494">
                  <w:hyperlink r:id="R36b91b7adeeb43ad" w:history="1">
                    <w:r>
                      <w:rPr>
                        <w:rStyle w:val="Hyperlink"/>
                        <w:rFonts w:ascii="Georgia" w:hAnsi="Georgia" w:cs="Georgia"/>
                        <w:sz w:val="22"/>
                        <w:szCs w:val="22"/>
                        <w:u w:val="none"/>
                      </w:rPr>
                      <w:t>elizabeth.adams@hoganlovells.com</w:t>
                    </w:r>
                  </w:hyperlink>
                </w:p>
              </w:tc>
            </w:tr>
          </w:tbl>
          <w:p w:rsidR="004A1494" w:rsidRPr="00222681" w:rsidRDefault="004A1494">
            <w:pPr>
              <w:rPr>
                <w:sz w:val="24"/>
                <w:szCs w:val="2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0_border1"/>
            </w:tblPr>
            <w:tblGrid>
              <w:gridCol w:w="3684"/>
            </w:tblGrid>
            <w:tr w:rsidR="00D66ED7" w:rsidRPr="003D3503" w:rsidTr="00FE240B">
              <w:trPr>
                <w:trHeight w:val="161"/>
              </w:trPr>
              <w:tc>
                <w:tcPr>
                  <w:tcW w:w="3684" w:type="dxa"/>
                </w:tcPr>
                <w:p w:rsidR="00D66ED7" w:rsidRPr="003D3503" w:rsidRDefault="008967D7" w:rsidP="00222681">
                  <w:pPr>
                    <w:ind w:left="30" w:hanging="30"/>
                    <w:rPr>
                      <w:sz w:val="16"/>
                      <w:szCs w:val="16"/>
                    </w:rPr>
                  </w:pPr>
                  <w:r w:rsidRPr="003D3503">
                    <w:rPr>
                      <w:noProof/>
                      <w:color w:val="E7E6E6" w:themeColor="background2"/>
                      <w:sz w:val="16"/>
                      <w:szCs w:val="16"/>
                    </w:rPr>
                    <mc:AlternateContent>
                      <mc:Choice Requires="wps">
                        <w:drawing>
                          <wp:anchor distT="0" distB="0" distL="114300" distR="114300" simplePos="0" relativeHeight="251677696" behindDoc="0" locked="0" layoutInCell="1" allowOverlap="1" wp14:anchorId="14B0BB3C" wp14:editId="5B0B9987">
                            <wp:simplePos x="0" y="0"/>
                            <wp:positionH relativeFrom="column">
                              <wp:posOffset>6350</wp:posOffset>
                            </wp:positionH>
                            <wp:positionV relativeFrom="paragraph">
                              <wp:posOffset>52706</wp:posOffset>
                            </wp:positionV>
                            <wp:extent cx="2200275" cy="0"/>
                            <wp:effectExtent l="0" t="0" r="28575" b="19050"/>
                            <wp:wrapNone/>
                            <wp:docPr id="11" name="Straight Connector 11"/>
                            <wp:cNvGraphicFramePr/>
                            <a:graphic xmlns:a="http://schemas.openxmlformats.org/drawingml/2006/main">
                              <a:graphicData uri="http://schemas.microsoft.com/office/word/2010/wordprocessingShape">
                                <wps:wsp>
                                  <wps:cNvCnPr/>
                                  <wps:spPr>
                                    <a:xfrm>
                                      <a:off x="0" y="0"/>
                                      <a:ext cx="220027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2483564"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4.15pt" to="173.7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1_Languages"/>
            </w:tblPr>
            <w:tblGrid>
              <w:gridCol w:w="3684"/>
            </w:tblGrid>
            <w:tr w:rsidR="004A1494" w:rsidTr="00B67200">
              <w:tc>
                <w:tcPr>
                  <w:tcW w:w="3684" w:type="dxa"/>
                </w:tcPr>
                <w:p w:rsidR="004A1494" w:rsidRPr="00F90870" w:rsidRDefault="004A1494">
                  <w:pPr>
                    <w:rPr>
                      <w:sz w:val="44"/>
                      <w:szCs w:val="44"/>
                    </w:rPr>
                  </w:pPr>
                  <w:r>
                    <w:rPr>
                      <w:lang w:val="en-US"/>
                      <w:rFonts w:ascii="Calibri" w:hAnsi="Calibri" w:cs="Calibri"/>
                      <w:u w:val="none"/>
                      <w:sz w:val="40"/>
                      <w:szCs w:val="40"/>
                      <w:color w:val="58A618"/>
                    </w:rPr>
                    <w:t>Languages</w:t>
                  </w:r>
                </w:p>
              </w:tc>
            </w:tr>
          </w:tbl>
          <w:p w:rsidR="00D66ED7" w:rsidRPr="00F20A7A" w:rsidRDefault="00D66ED7">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2_LanguagesList"/>
            </w:tblPr>
            <w:tblGrid>
              <w:gridCol w:w="3684"/>
            </w:tblGrid>
            <w:tr>
              <w:tc>
                <w:tcPr>
                  <w:tcW w:w="3686.4" w:type="dxa"/>
                </w:tcPr>
                <w:p>
                  <w:pPr>
                    <w:spacing w:after="220"/>
                  </w:pPr>
                  <w:r>
                    <w:rPr>
                      <w:lang w:val="en-US"/>
                      <w:rFonts w:ascii="Georgia" w:hAnsi="Georgia" w:cs="Georgia"/>
                      <w:u w:val="none"/>
                      <w:sz w:val="24"/>
                      <w:szCs w:val="24"/>
                      <w:color w:val="000000"/>
                    </w:rPr>
                    <w:t>English</w:t>
                  </w:r>
                </w:p>
              </w:tc>
            </w:tr>
            <w:tr>
              <w:tc>
                <w:tcPr>
                  <w:tcW w:w="3686.4" w:type="dxa"/>
                </w:tcPr>
                <w:p>
                  <w:pPr>
                    <w:spacing w:after="220"/>
                  </w:pPr>
                  <w:r>
                    <w:rPr>
                      <w:lang w:val="en-US"/>
                      <w:rFonts w:ascii="Georgia" w:hAnsi="Georgia" w:cs="Georgia"/>
                      <w:u w:val="none"/>
                      <w:sz w:val="24"/>
                      <w:szCs w:val="24"/>
                      <w:color w:val="000000"/>
                    </w:rPr>
                    <w:t>French</w:t>
                  </w:r>
                </w:p>
              </w:tc>
            </w:tr>
            <w:tr>
              <w:tc>
                <w:tcPr>
                  <w:tcW w:w="3686.4" w:type="dxa"/>
                </w:tcPr>
                <w:p>
                  <w:pPr>
                    <w:spacing w:after="220"/>
                  </w:pPr>
                  <w:r>
                    <w:rPr>
                      <w:lang w:val="en-US"/>
                      <w:rFonts w:ascii="Georgia" w:hAnsi="Georgia" w:cs="Georgia"/>
                      <w:u w:val="none"/>
                      <w:sz w:val="24"/>
                      <w:szCs w:val="24"/>
                      <w:color w:val="000000"/>
                    </w:rPr>
                    <w:t>Spanish</w:t>
                  </w:r>
                </w:p>
              </w:tc>
            </w:tr>
          </w:tbl>
          <w:p w:rsidR="00423DCE" w:rsidRPr="007007D0" w:rsidRDefault="00423DCE">
            <w:pPr>
              <w:rPr>
                <w:b w:val="0"/>
                <w:bCs w:val="0"/>
                <w:sz w:val="2"/>
                <w:szCs w:val="2"/>
              </w:rPr>
            </w:pPr>
          </w:p>
          <w:tbl>
            <w:tblPr>
              <w:tblStyle w:val="TableGrid"/>
              <w:tblW w:w="3730" w:type="dxa"/>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3_border2"/>
            </w:tblPr>
            <w:tblGrid>
              <w:gridCol w:w="3730"/>
            </w:tblGrid>
            <w:tr w:rsidR="00423DCE" w:rsidTr="007007D0">
              <w:trPr>
                <w:trHeight w:val="253"/>
              </w:trPr>
              <w:tc>
                <w:tcPr>
                  <w:tcW w:w="3730" w:type="dxa"/>
                </w:tcPr>
                <w:p w:rsidR="00423DCE" w:rsidRDefault="00423DCE">
                  <w:pPr>
                    <w:rPr>
                      <w:sz w:val="20"/>
                      <w:szCs w:val="20"/>
                    </w:rPr>
                  </w:pPr>
                  <w:r w:rsidRPr="003D3503">
                    <w:rPr>
                      <w:noProof/>
                      <w:color w:val="E7E6E6" w:themeColor="background2"/>
                      <w:sz w:val="16"/>
                      <w:szCs w:val="16"/>
                    </w:rPr>
                    <mc:AlternateContent>
                      <mc:Choice Requires="wps">
                        <w:drawing>
                          <wp:anchor distT="0" distB="0" distL="114300" distR="114300" simplePos="0" relativeHeight="251700224" behindDoc="0" locked="0" layoutInCell="1" allowOverlap="1" wp14:anchorId="0D3DFF00" wp14:editId="1E6C5FB2">
                            <wp:simplePos x="0" y="0"/>
                            <wp:positionH relativeFrom="column">
                              <wp:posOffset>-1905</wp:posOffset>
                            </wp:positionH>
                            <wp:positionV relativeFrom="paragraph">
                              <wp:posOffset>59056</wp:posOffset>
                            </wp:positionV>
                            <wp:extent cx="221932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FA7A1E" id="Straight Connector 15"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65pt" to="174.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" strokecolor="#ccc" strokeweight="1.5pt">
                            <v:stroke joinstyle="miter"/>
                          </v:line>
                        </w:pict>
                      </mc:Fallback>
                    </mc:AlternateContent>
                  </w:r>
                </w:p>
              </w:tc>
            </w:tr>
          </w:tbl>
          <w:p w:rsidR="00D66ED7" w:rsidRPr="007007D0" w:rsidRDefault="00D66ED7">
            <w:pPr>
              <w:rPr>
                <w:sz w:val="2"/>
                <w:szCs w:val="2"/>
              </w:rPr>
            </w:pPr>
          </w:p>
          <w:tbl>
            <w:tblPr>
              <w:tblStyle w:val="TableGrid"/>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4_Practices"/>
            </w:tblPr>
            <w:tblGrid>
              <w:gridCol w:w="3577"/>
            </w:tblGrid>
            <w:tr w:rsidR="00B67200" w:rsidTr="00B67200">
              <w:tc>
                <w:tcPr>
                  <w:tcW w:w="3577" w:type="dxa"/>
                </w:tcPr>
                <w:p w:rsidR="00B67200" w:rsidRPr="00B67200" w:rsidRDefault="00B67200">
                  <w:pPr>
                    <w:rPr>
                      <w:sz w:val="44"/>
                      <w:szCs w:val="44"/>
                    </w:rPr>
                  </w:pPr>
                  <w:r>
                    <w:rPr>
                      <w:lang w:val="en-US"/>
                      <w:rFonts w:ascii="Calibri" w:hAnsi="Calibri" w:cs="Calibri"/>
                      <w:u w:val="none"/>
                      <w:sz w:val="40"/>
                      <w:szCs w:val="40"/>
                      <w:color w:val="58A618"/>
                    </w:rPr>
                    <w:t>Practices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5_PracticesList"/>
            </w:tblPr>
            <w:tblGrid>
              <w:gridCol w:w="3684"/>
            </w:tblGrid>
            <w:tr>
              <w:tc>
                <w:tcPr>
                  <w:tcW w:w="3686.4" w:type="dxa"/>
                </w:tcPr>
                <w:p>
                  <w:pPr>
                    <w:spacing w:after="220"/>
                  </w:pPr>
                  <w:hyperlink r:id="Re987aa3b49bf4e08" w:history="1">
                    <w:r>
                      <w:rPr>
                        <w:rStyle w:val="Hyperlink"/>
                        <w:rFonts w:ascii="Georgia" w:hAnsi="Georgia" w:cs="Georgia"/>
                        <w:sz w:val="24"/>
                        <w:szCs w:val="24"/>
                      </w:rPr>
                      <w:t>Tax</w:t>
                    </w:r>
                  </w:hyperlink>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6_border3"/>
            </w:tblPr>
            <w:tblGrid>
              <w:gridCol w:w="3686"/>
            </w:tblGrid>
            <w:tr w:rsidR="00D66ED7" w:rsidTr="00FE240B">
              <w:trPr>
                <w:trHeight w:val="158"/>
              </w:trPr>
              <w:tc>
                <w:tcPr>
                  <w:tcW w:w="3684" w:type="dxa"/>
                </w:tcPr>
                <w:p w:rsidR="00D66ED7" w:rsidRPr="003D3503" w:rsidRDefault="008967D7">
                  <w:pPr>
                    <w:rPr>
                      <w:sz w:val="16"/>
                      <w:szCs w:val="16"/>
                    </w:rPr>
                  </w:pPr>
                  <w:r w:rsidRPr="003D3503">
                    <w:rPr>
                      <w:noProof/>
                      <w:color w:val="E7E6E6" w:themeColor="background2"/>
                      <w:sz w:val="16"/>
                      <w:szCs w:val="16"/>
                    </w:rPr>
                    <mc:AlternateContent>
                      <mc:Choice Requires="wps">
                        <w:drawing>
                          <wp:anchor distT="0" distB="0" distL="114300" distR="114300" simplePos="0" relativeHeight="251673600" behindDoc="0" locked="0" layoutInCell="1" allowOverlap="1" wp14:anchorId="67BFDA33" wp14:editId="4622D3E2">
                            <wp:simplePos x="0" y="0"/>
                            <wp:positionH relativeFrom="column">
                              <wp:posOffset>6349</wp:posOffset>
                            </wp:positionH>
                            <wp:positionV relativeFrom="paragraph">
                              <wp:posOffset>69851</wp:posOffset>
                            </wp:positionV>
                            <wp:extent cx="2219325" cy="0"/>
                            <wp:effectExtent l="0" t="0" r="28575" b="19050"/>
                            <wp:wrapNone/>
                            <wp:docPr id="9" name="Straight Connector 9"/>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5E1E68" id="Straight Connector 9"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5.5pt" to="175.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" strokecolor="#ccc" strokeweight="1.5pt">
                            <v:stroke joinstyle="miter"/>
                          </v:line>
                        </w:pict>
                      </mc:Fallback>
                    </mc:AlternateContent>
                  </w:r>
                </w:p>
              </w:tc>
            </w:tr>
          </w:tbl>
          <w:p w:rsidR="00D66ED7" w:rsidRPr="00F20A7A" w:rsidRDefault="00D66ED7">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7_Industries"/>
            </w:tblPr>
            <w:tblGrid>
              <w:gridCol w:w="3684"/>
            </w:tblGrid>
            <w:tr w:rsidR="004A1494" w:rsidTr="00FF36A3">
              <w:tc>
                <w:tcPr>
                  <w:tcW w:w="3684" w:type="dxa"/>
                </w:tcPr>
                <w:p w:rsidR="004A1494" w:rsidRPr="00F90870" w:rsidRDefault="004A1494">
                  <w:pPr>
                    <w:rPr>
                      <w:sz w:val="44"/>
                      <w:szCs w:val="44"/>
                    </w:rPr>
                  </w:pPr>
                  <w:r>
                    <w:rPr>
                      <w:lang w:val="en-US"/>
                      <w:rFonts w:ascii="Calibri" w:hAnsi="Calibri" w:cs="Calibri"/>
                      <w:u w:val="none"/>
                      <w:sz w:val="40"/>
                      <w:szCs w:val="40"/>
                      <w:color w:val="58A618"/>
                    </w:rPr>
                    <w:t>Industries</w:t>
                  </w:r>
                </w:p>
              </w:tc>
            </w:tr>
          </w:tbl>
          <w:p w:rsidR="004A1494" w:rsidRPr="00F20A7A" w:rsidRDefault="004A1494">
            <w:pPr>
              <w:rPr>
                <w:sz w:val="4"/>
                <w:szCs w:val="4"/>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8_IndustriesList"/>
            </w:tblPr>
            <w:tblGrid>
              <w:gridCol w:w="3684"/>
            </w:tblGrid>
            <w:tr>
              <w:tc>
                <w:tcPr>
                  <w:tcW w:w="3686.4" w:type="dxa"/>
                </w:tcPr>
                <w:p>
                  <w:pPr>
                    <w:spacing w:after="220"/>
                  </w:pPr>
                  <w:hyperlink r:id="R90a0f898863642b5" w:history="1">
                    <w:r>
                      <w:rPr>
                        <w:rStyle w:val="Hyperlink"/>
                        <w:rFonts w:ascii="Georgia" w:hAnsi="Georgia" w:cs="Georgia"/>
                        <w:sz w:val="24"/>
                        <w:szCs w:val="24"/>
                      </w:rPr>
                      <w:t>Financial Institutions</w:t>
                    </w:r>
                  </w:hyperlink>
                </w:p>
              </w:tc>
            </w:tr>
            <w:tr>
              <w:tc>
                <w:tcPr>
                  <w:tcW w:w="3686.4" w:type="dxa"/>
                </w:tcPr>
                <w:p>
                  <w:pPr>
                    <w:spacing w:after="220"/>
                  </w:pPr>
                  <w:hyperlink r:id="Rcc00944681b243ed" w:history="1">
                    <w:r>
                      <w:rPr>
                        <w:rStyle w:val="Hyperlink"/>
                        <w:rFonts w:ascii="Georgia" w:hAnsi="Georgia" w:cs="Georgia"/>
                        <w:sz w:val="24"/>
                        <w:szCs w:val="24"/>
                      </w:rPr>
                      <w:t>Private Capital</w:t>
                    </w:r>
                  </w:hyperlink>
                </w:p>
              </w:tc>
            </w:tr>
            <w:tr>
              <w:tc>
                <w:tcPr>
                  <w:tcW w:w="3686.4" w:type="dxa"/>
                </w:tcPr>
                <w:p>
                  <w:pPr>
                    <w:spacing w:after="220"/>
                  </w:pPr>
                  <w:hyperlink r:id="R5f90fc56e6e94551" w:history="1">
                    <w:r>
                      <w:rPr>
                        <w:rStyle w:val="Hyperlink"/>
                        <w:rFonts w:ascii="Georgia" w:hAnsi="Georgia" w:cs="Georgia"/>
                        <w:sz w:val="24"/>
                        <w:szCs w:val="24"/>
                      </w:rPr>
                      <w:t>Real Estate</w:t>
                    </w:r>
                  </w:hyperlink>
                </w:p>
              </w:tc>
            </w:tr>
          </w:tbl>
          <w:p w:rsidR="000B7E44" w:rsidRDefault="000B7E44">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29_border4"/>
            </w:tblPr>
            <w:tblGrid>
              <w:gridCol w:w="3684"/>
            </w:tblGrid>
            <w:tr w:rsidR="00E30A23" w:rsidTr="00FE240B">
              <w:trPr>
                <w:trHeight w:val="158"/>
              </w:trPr>
              <w:tc>
                <w:tcPr>
                  <w:tcW w:w="3684" w:type="dxa"/>
                </w:tcPr>
                <w:p w:rsidR="00E30A23" w:rsidRPr="003D3503" w:rsidRDefault="0060354B">
                  <w:pPr>
                    <w:rPr>
                      <w:sz w:val="16"/>
                      <w:szCs w:val="16"/>
                    </w:rPr>
                  </w:pPr>
                  <w:r w:rsidRPr="003D3503">
                    <w:rPr>
                      <w:noProof/>
                      <w:color w:val="E7E6E6" w:themeColor="background2"/>
                      <w:sz w:val="16"/>
                      <w:szCs w:val="16"/>
                    </w:rPr>
                    <mc:AlternateContent>
                      <mc:Choice Requires="wps">
                        <w:drawing>
                          <wp:anchor distT="0" distB="0" distL="114300" distR="114300" simplePos="0" relativeHeight="251698176" behindDoc="0" locked="0" layoutInCell="1" allowOverlap="1">
                            <wp:simplePos x="0" y="0"/>
                            <wp:positionH relativeFrom="column">
                              <wp:posOffset>-3175</wp:posOffset>
                            </wp:positionH>
                            <wp:positionV relativeFrom="paragraph">
                              <wp:posOffset>58420</wp:posOffset>
                            </wp:positionV>
                            <wp:extent cx="219075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1907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9D8BB" id="Straight Connector 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4.6pt" to="172.2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" strokecolor="#ccc" strokeweight="1.5pt">
                            <v:stroke joinstyle="miter"/>
                          </v:line>
                        </w:pict>
                      </mc:Fallback>
                    </mc:AlternateContent>
                  </w:r>
                </w:p>
              </w:tc>
            </w:tr>
          </w:tbl>
          <w:p w:rsidR="00E30A23" w:rsidRPr="00F20A7A" w:rsidRDefault="00E30A23">
            <w:pPr>
              <w:rPr>
                <w:sz w:val="4"/>
                <w:szCs w:val="4"/>
              </w:rPr>
            </w:pPr>
          </w:p>
          <w:p w:rsidR="004A1494" w:rsidRPr="00F20A7A" w:rsidRDefault="004A1494">
            <w:pPr>
              <w:rPr>
                <w:sz w:val="4"/>
                <w:szCs w:val="4"/>
              </w:rPr>
            </w:pPr>
          </w:p>
          <w:p w:rsidR="00D66ED7" w:rsidRDefault="00D66ED7">
            <w:pPr>
              <w:rPr>
                <w:sz w:val="4"/>
                <w:szCs w:val="4"/>
              </w:rPr>
            </w:pPr>
          </w:p>
          <w:p w:rsidR="0060354B" w:rsidRPr="00F20A7A" w:rsidRDefault="0060354B">
            <w:pPr>
              <w:rPr>
                <w:sz w:val="4"/>
                <w:szCs w:val="4"/>
              </w:rPr>
            </w:pPr>
          </w:p>
          <w:tbl>
            <w:tblPr>
              <w:tblStyle w:val="TableGrid"/>
              <w:tblW w:w="0" w:type="auto"/>
              <w:tblInd w:w="170" w:type="dxa"/>
              <w:tblLayout w:type="fixed"/>
              <w:tblLook w:val="04A0" w:firstRow="1" w:lastRow="0" w:firstColumn="1" w:lastColumn="0" w:noHBand="0" w:noVBand="1"/>
              <w:tblCaption w:val="index_33_Education and admissions"/>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 and admissions</w:t>
                  </w:r>
                </w:p>
              </w:tc>
            </w:tr>
          </w:tbl>
          <w:p w:rsidR="004A1494" w:rsidRPr="000F40F9" w:rsidRDefault="004A1494">
            <w:pPr>
              <w:rPr>
                <w:sz w:val="10"/>
                <w:szCs w:val="10"/>
              </w:rPr>
            </w:pPr>
          </w:p>
          <w:tbl>
            <w:tblPr>
              <w:tblStyle w:val="TableGrid"/>
              <w:tblW w:w="0" w:type="auto"/>
              <w:tblInd w:w="170" w:type="dxa"/>
              <w:tblLayout w:type="fixed"/>
              <w:tblLook w:val="04A0" w:firstRow="1" w:lastRow="0" w:firstColumn="1" w:lastColumn="0" w:noHBand="0" w:noVBand="1"/>
              <w:tblCaption w:val="index_34_Education"/>
            </w:tblPr>
            <w:tblGrid>
              <w:gridCol w:w="3684"/>
            </w:tblGrid>
            <w:tr w:rsidR="004A1494" w:rsidTr="000F40F9">
              <w:tc>
                <w:tcPr>
                  <w:tcW w:w="3684" w:type="dxa"/>
                  <w:tcBorders>
                    <w:top w:val="nil"/>
                    <w:left w:val="nil"/>
                    <w:bottom w:val="nil"/>
                    <w:right w:val="nil"/>
                  </w:tcBorders>
                </w:tcPr>
                <w:p w:rsidR="004A1494" w:rsidRPr="00F90870" w:rsidRDefault="004A1494">
                  <w:pPr>
                    <w:rPr>
                      <w:sz w:val="44"/>
                      <w:szCs w:val="44"/>
                    </w:rPr>
                  </w:pPr>
                  <w:r>
                    <w:rPr>
                      <w:lang w:val="en-US"/>
                      <w:rFonts w:ascii="Calibri" w:hAnsi="Calibri" w:cs="Calibri"/>
                      <w:u w:val="none"/>
                      <w:sz w:val="40"/>
                      <w:szCs w:val="40"/>
                      <w:color w:val="58A618"/>
                    </w:rPr>
                    <w:t>Education</w:t>
                  </w:r>
                </w:p>
              </w:tc>
            </w:tr>
          </w:tbl>
          <w:p w:rsidR="00844541" w:rsidRPr="00F70CE0" w:rsidRDefault="00844541">
            <w:pPr>
              <w:rPr>
                <w:sz w:val="2"/>
                <w:szCs w:val="2"/>
              </w:rPr>
            </w:pPr>
          </w:p>
          <w:tbl>
            <w:tblPr>
              <w:tblStyle w:val="TableGrid"/>
              <w:tblW w:w="0" w:type="auto"/>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5_EducationList"/>
            </w:tblPr>
            <w:tblGrid>
              <w:gridCol w:w="3684"/>
            </w:tblGrid>
            <w:tr>
              <w:tc>
                <w:tcPr>
                  <w:tcW w:w="3686.4" w:type="dxa"/>
                </w:tcPr>
                <w:p>
                  <w:pPr>
                    <w:spacing w:after="220"/>
                  </w:pPr>
                  <w:r>
                    <w:rPr>
                      <w:lang w:val="en-US"/>
                      <w:rFonts w:ascii="Georgia" w:hAnsi="Georgia" w:cs="Georgia"/>
                      <w:u w:val="none"/>
                      <w:sz w:val="24"/>
                      <w:szCs w:val="24"/>
                      <w:color w:val="000000"/>
                    </w:rPr>
                    <w:t>LL.M., New York University School of Law, 2021</w:t>
                  </w:r>
                </w:p>
              </w:tc>
            </w:tr>
            <w:tr>
              <w:tc>
                <w:tcPr>
                  <w:tcW w:w="3686.4" w:type="dxa"/>
                </w:tcPr>
                <w:p>
                  <w:pPr>
                    <w:spacing w:after="220"/>
                  </w:pPr>
                  <w:r>
                    <w:rPr>
                      <w:lang w:val="en-US"/>
                      <w:rFonts w:ascii="Georgia" w:hAnsi="Georgia" w:cs="Georgia"/>
                      <w:u w:val="none"/>
                      <w:sz w:val="24"/>
                      <w:szCs w:val="24"/>
                      <w:color w:val="000000"/>
                    </w:rPr>
                    <w:t>J.D., University of Virginia School of Law, 2019</w:t>
                  </w:r>
                </w:p>
              </w:tc>
            </w:tr>
            <w:tr>
              <w:tc>
                <w:tcPr>
                  <w:tcW w:w="3686.4" w:type="dxa"/>
                </w:tcPr>
                <w:p>
                  <w:pPr>
                    <w:spacing w:after="220"/>
                  </w:pPr>
                  <w:r>
                    <w:rPr>
                      <w:lang w:val="en-US"/>
                      <w:rFonts w:ascii="Georgia" w:hAnsi="Georgia" w:cs="Georgia"/>
                      <w:u w:val="none"/>
                      <w:sz w:val="24"/>
                      <w:szCs w:val="24"/>
                      <w:color w:val="000000"/>
                    </w:rPr>
                    <w:t>B.A. in Modern Languages, Minor in Legal Studies, Seton Hall University, summa cum laude, 2016</w:t>
                  </w:r>
                </w:p>
              </w:tc>
            </w:tr>
          </w:tbl>
          <w:p w:rsidR="004A1494" w:rsidRPr="00F20A7A" w:rsidRDefault="004A1494">
            <w:pPr>
              <w:rPr>
                <w:sz w:val="4"/>
                <w:szCs w:val="4"/>
              </w:rPr>
            </w:pP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36_border6"/>
            </w:tblPr>
            <w:tblGrid>
              <w:gridCol w:w="3686"/>
            </w:tblGrid>
            <w:tr w:rsidR="00844541" w:rsidTr="00FE240B">
              <w:trPr>
                <w:trHeight w:val="170"/>
              </w:trPr>
              <w:tc>
                <w:tcPr>
                  <w:tcW w:w="3684" w:type="dxa"/>
                </w:tcPr>
                <w:p w:rsidR="00844541" w:rsidRPr="003D3503" w:rsidRDefault="00672193" w:rsidP="00FE240B">
                  <w:pPr>
                    <w:jc w:val="center"/>
                    <w:rPr>
                      <w:sz w:val="16"/>
                      <w:szCs w:val="16"/>
                    </w:rPr>
                  </w:pPr>
                  <w:r w:rsidRPr="003D3503">
                    <w:rPr>
                      <w:noProof/>
                      <w:color w:val="E7E6E6" w:themeColor="background2"/>
                      <w:sz w:val="16"/>
                      <w:szCs w:val="16"/>
                    </w:rPr>
                    <mc:AlternateContent>
                      <mc:Choice Requires="wps">
                        <w:drawing>
                          <wp:anchor distT="0" distB="0" distL="114300" distR="114300" simplePos="0" relativeHeight="251667456" behindDoc="0" locked="0" layoutInCell="1" allowOverlap="1" wp14:anchorId="103A25AF" wp14:editId="21C46AA4">
                            <wp:simplePos x="0" y="0"/>
                            <wp:positionH relativeFrom="column">
                              <wp:posOffset>-12700</wp:posOffset>
                            </wp:positionH>
                            <wp:positionV relativeFrom="paragraph">
                              <wp:posOffset>41275</wp:posOffset>
                            </wp:positionV>
                            <wp:extent cx="2228850" cy="0"/>
                            <wp:effectExtent l="0" t="0" r="19050" b="19050"/>
                            <wp:wrapNone/>
                            <wp:docPr id="6" name="Straight Connector 6"/>
                            <wp:cNvGraphicFramePr/>
                            <a:graphic xmlns:a="http://schemas.openxmlformats.org/drawingml/2006/main">
                              <a:graphicData uri="http://schemas.microsoft.com/office/word/2010/wordprocessingShape">
                                <wps:wsp>
                                  <wps:cNvCnPr/>
                                  <wps:spPr>
                                    <a:xfrm flipV="1">
                                      <a:off x="0" y="0"/>
                                      <a:ext cx="2228850"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7D3DBD"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25pt" to="174.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" strokecolor="#ccc" strokeweight="1.5pt">
                            <v:stroke joinstyle="miter"/>
                          </v:line>
                        </w:pict>
                      </mc:Fallback>
                    </mc:AlternateContent>
                  </w:r>
                </w:p>
              </w:tc>
            </w:tr>
          </w:tbl>
          <w:p w:rsidR="00844541" w:rsidRPr="00F20A7A" w:rsidRDefault="00844541">
            <w:pPr>
              <w:rPr>
                <w:sz w:val="4"/>
                <w:szCs w:val="4"/>
              </w:rPr>
            </w:pPr>
          </w:p>
          <w:p w:rsidR="004A1494" w:rsidRPr="00F20A7A" w:rsidRDefault="004A1494">
            <w:pPr>
              <w:rPr>
                <w:sz w:val="4"/>
                <w:szCs w:val="4"/>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BF719B" w:rsidRDefault="00BF719B">
            <w:pPr>
              <w:rPr>
                <w:sz w:val="2"/>
                <w:szCs w:val="2"/>
              </w:rPr>
            </w:pPr>
          </w:p>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0_Bar admissions and qualifications"/>
            </w:tblPr>
            <w:tblGrid>
              <w:gridCol w:w="3684"/>
            </w:tblGrid>
            <w:tr w:rsidR="0079721B" w:rsidTr="003A43D4">
              <w:trPr>
                <w:trHeight w:val="199"/>
              </w:trPr>
              <w:tc>
                <w:tcPr>
                  <w:tcW w:w="3684" w:type="dxa"/>
                </w:tcPr>
                <w:p w:rsidR="0079721B" w:rsidRPr="00E2312E" w:rsidRDefault="0079721B" w:rsidP="0079721B">
                  <w:pPr>
                    <w:rPr>
                      <w:color w:val="58A618"/>
                      <w:sz w:val="44"/>
                      <w:szCs w:val="44"/>
                    </w:rPr>
                  </w:pPr>
                  <w:bookmarkStart w:id="2" w:name="_GoBack"/>
                  <w:bookmarkEnd w:id="2"/>
                  <w:r>
                    <w:rPr>
                      <w:lang w:val="en-US"/>
                      <w:rFonts w:ascii="Calibri" w:hAnsi="Calibri" w:cs="Calibri"/>
                      <w:u w:val="none"/>
                      <w:sz w:val="40"/>
                      <w:szCs w:val="40"/>
                      <w:color w:val="58A618"/>
                    </w:rPr>
                    <w:t>Bar admissions and qualifications</w:t>
                  </w:r>
                </w:p>
              </w:tc>
            </w:tr>
          </w:tbl>
          <w:p w:rsidR="0079721B" w:rsidRDefault="0079721B">
            <w:pPr>
              <w:rPr>
                <w:sz w:val="4"/>
                <w:szCs w:val="4"/>
              </w:rPr>
            </w:pPr>
          </w:p>
          <w:tbl>
            <w:tblPr>
              <w:tblStyle w:val="TableGrid"/>
              <w:tblW w:w="3684"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1_BaradmissionsList"/>
            </w:tblPr>
            <w:tblGrid>
              <w:gridCol w:w="3684"/>
            </w:tblGrid>
            <w:tr>
              <w:tc>
                <w:tcPr>
                  <w:tcW w:w="3686.4" w:type="dxa"/>
                </w:tcPr>
                <w:p>
                  <w:pPr>
                    <w:spacing w:after="220"/>
                  </w:pPr>
                  <w:r>
                    <w:rPr>
                      <w:lang w:val="en-US"/>
                      <w:rFonts w:ascii="Georgia" w:hAnsi="Georgia" w:cs="Georgia"/>
                      <w:u w:val="none"/>
                      <w:sz w:val="24"/>
                      <w:szCs w:val="24"/>
                      <w:color w:val="000000"/>
                    </w:rPr>
                    <w:t>District of Columbia</w:t>
                  </w:r>
                </w:p>
              </w:tc>
            </w:tr>
            <w:tr>
              <w:tc>
                <w:tcPr>
                  <w:tcW w:w="3686.4" w:type="dxa"/>
                </w:tcPr>
                <w:p>
                  <w:pPr>
                    <w:spacing w:after="220"/>
                  </w:pPr>
                  <w:r>
                    <w:rPr>
                      <w:lang w:val="en-US"/>
                      <w:rFonts w:ascii="Georgia" w:hAnsi="Georgia" w:cs="Georgia"/>
                      <w:u w:val="none"/>
                      <w:sz w:val="24"/>
                      <w:szCs w:val="24"/>
                      <w:color w:val="000000"/>
                    </w:rPr>
                    <w:t>New York</w:t>
                  </w:r>
                </w:p>
              </w:tc>
            </w:tr>
          </w:tbl>
          <w:p w:rsidR="001A7332" w:rsidRPr="001A7332" w:rsidRDefault="001A7332">
            <w:pPr>
              <w:rPr>
                <w:sz w:val="2"/>
                <w:szCs w:val="2"/>
              </w:rPr>
            </w:pPr>
          </w:p>
          <w:p w:rsidR="004A1494" w:rsidRPr="001A7332" w:rsidRDefault="0079721B">
            <w:pPr>
              <w:rPr>
                <w:sz w:val="4"/>
                <w:szCs w:val="4"/>
              </w:rPr>
            </w:pPr>
            <w:r>
              <w:rPr>
                <w:sz w:val="4"/>
                <w:szCs w:val="4"/>
              </w:rPr>
              <w:t xml:space="preserve">            </w:t>
            </w:r>
            <w:r w:rsidR="001A7332">
              <w:rPr>
                <w:sz w:val="4"/>
                <w:szCs w:val="4"/>
              </w:rPr>
              <w:t xml:space="preserve">                             </w:t>
            </w:r>
          </w:p>
          <w:tbl>
            <w:tblPr>
              <w:tblStyle w:val="TableGrid"/>
              <w:tblW w:w="3686" w:type="dxa"/>
              <w:tblInd w:w="1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index_42_border8"/>
            </w:tblPr>
            <w:tblGrid>
              <w:gridCol w:w="3686"/>
            </w:tblGrid>
            <w:tr w:rsidR="00623210" w:rsidTr="00FE240B">
              <w:trPr>
                <w:trHeight w:val="158"/>
              </w:trPr>
              <w:tc>
                <w:tcPr>
                  <w:tcW w:w="3684" w:type="dxa"/>
                </w:tcPr>
                <w:p w:rsidR="00623210" w:rsidRPr="00D932FF" w:rsidRDefault="00623210" w:rsidP="00623210">
                  <w:pPr>
                    <w:rPr>
                      <w:sz w:val="16"/>
                      <w:szCs w:val="16"/>
                    </w:rPr>
                  </w:pPr>
                  <w:r w:rsidRPr="00D932FF">
                    <w:rPr>
                      <w:noProof/>
                      <w:color w:val="E7E6E6" w:themeColor="background2"/>
                      <w:sz w:val="16"/>
                      <w:szCs w:val="16"/>
                    </w:rPr>
                    <mc:AlternateContent>
                      <mc:Choice Requires="wps">
                        <w:drawing>
                          <wp:anchor distT="0" distB="0" distL="114300" distR="114300" simplePos="0" relativeHeight="251682816" behindDoc="0" locked="0" layoutInCell="1" allowOverlap="1" wp14:anchorId="3348DBEB" wp14:editId="0D29A84E">
                            <wp:simplePos x="0" y="0"/>
                            <wp:positionH relativeFrom="column">
                              <wp:posOffset>-12700</wp:posOffset>
                            </wp:positionH>
                            <wp:positionV relativeFrom="paragraph">
                              <wp:posOffset>38101</wp:posOffset>
                            </wp:positionV>
                            <wp:extent cx="22193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2219325" cy="0"/>
                                    </a:xfrm>
                                    <a:prstGeom prst="line">
                                      <a:avLst/>
                                    </a:prstGeom>
                                    <a:noFill/>
                                    <a:ln w="19050" cap="flat" cmpd="sng" algn="ctr">
                                      <a:solidFill>
                                        <a:srgbClr val="CCCCCC"/>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455E4C" id="Straight Connector 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3pt" to="173.7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" strokecolor="#ccc" strokeweight="1.5pt">
                            <v:stroke joinstyle="miter"/>
                          </v:line>
                        </w:pict>
                      </mc:Fallback>
                    </mc:AlternateContent>
                  </w:r>
                </w:p>
              </w:tc>
            </w:tr>
          </w:tbl>
          <w:p w:rsidR="00844541" w:rsidRPr="001A7332" w:rsidRDefault="00844541">
            <w:pPr>
              <w:rPr>
                <w:sz w:val="4"/>
                <w:szCs w:val="4"/>
              </w:rPr>
            </w:pPr>
          </w:p>
          <w:p w:rsidR="004A1494" w:rsidRPr="001A7332" w:rsidRDefault="004A1494">
            <w:pPr>
              <w:rPr>
                <w:sz w:val="4"/>
                <w:szCs w:val="4"/>
              </w:rPr>
            </w:pPr>
          </w:p>
          <w:p w:rsidR="00BF719B" w:rsidRDefault="00BF719B">
            <w:pPr>
              <w:rPr>
                <w:sz w:val="4"/>
                <w:szCs w:val="4"/>
              </w:rPr>
            </w:pPr>
          </w:p>
          <w:p w:rsidR="00BF719B" w:rsidRPr="001A7332" w:rsidRDefault="00BF719B">
            <w:pPr>
              <w:rPr>
                <w:sz w:val="4"/>
                <w:szCs w:val="4"/>
              </w:rPr>
            </w:pPr>
          </w:p>
          <w:p w:rsidR="001A7332" w:rsidRPr="001A7332" w:rsidRDefault="001A7332">
            <w:pPr>
              <w:rPr>
                <w:sz w:val="4"/>
                <w:szCs w:val="4"/>
              </w:rPr>
            </w:pPr>
          </w:p>
          <w:p w:rsidR="00E50650" w:rsidRPr="00E50650" w:rsidRDefault="00E50650">
            <w:pPr>
              <w:rPr>
                <w:sz w:val="2"/>
                <w:szCs w:val="2"/>
              </w:rPr>
            </w:pPr>
          </w:p>
          <w:p w:rsidR="00E50650" w:rsidRPr="00B9110E" w:rsidRDefault="00E50650">
            <w:pPr>
              <w:rPr>
                <w:sz w:val="2"/>
                <w:szCs w:val="2"/>
              </w:rPr>
            </w:pPr>
          </w:p>
          <w:p w:rsidR="00E50650" w:rsidRPr="009D34CC" w:rsidRDefault="00E50650">
            <w:pPr>
              <w:rPr>
                <w:sz w:val="4"/>
              </w:rPr>
            </w:pPr>
          </w:p>
          <w:p w:rsidR="00181440" w:rsidRDefault="00181440"/>
        </w:tc>
      </w:tr>
    </w:tbl>
    <w:p w:rsidR="00346825" w:rsidRDefault="00346825" w:rsidP="00262A00"/>
    <w:sectPr w:rsidR="00346825" w:rsidSect="00647B50">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embedRegular r:id="rId1" w:fontKey="{99D3FE78-3EC7-4FDD-ACDF-8077DDDBAFEF}"/>
    <w:embedBold r:id="rId2" w:fontKey="{1AEBAD1E-8477-4D02-A8CB-C60B593149A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75pt" o:bullet="t">
        <v:imagedata r:id="rId1" o:title="bulletSqr"/>
      </v:shape>
    </w:pict>
  </w:numPicBullet>
  <w:abstractNum w:abstractNumId="0">
    <w:nsid w:val="38C51E68"/>
    <w:multiLevelType w:val="hybridMultilevel"/>
    <w:tmpl w:val="795C24F4"/>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4DAE"/>
    <w:multiLevelType w:val="hybridMultilevel"/>
    <w:tmpl w:val="B072B17E"/>
    <w:lvl w:ilvl="0" w:tplc="96A4B9A8">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6932C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num>
  <w:num w:numId="2">
    <w:abstractNumId w:val="1"/>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embedSystemFonts/>
  <w:saveSubset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155"/>
    <w:rsid w:val="00043D71"/>
    <w:rsid w:val="00086676"/>
    <w:rsid w:val="000A2301"/>
    <w:rsid w:val="000B7E44"/>
    <w:rsid w:val="000F40F9"/>
    <w:rsid w:val="00104DF8"/>
    <w:rsid w:val="00181440"/>
    <w:rsid w:val="0019690D"/>
    <w:rsid w:val="001A3264"/>
    <w:rsid w:val="001A7332"/>
    <w:rsid w:val="001C6E41"/>
    <w:rsid w:val="00203420"/>
    <w:rsid w:val="00222681"/>
    <w:rsid w:val="00232330"/>
    <w:rsid w:val="00262A00"/>
    <w:rsid w:val="002634EF"/>
    <w:rsid w:val="00270CBD"/>
    <w:rsid w:val="00286CAE"/>
    <w:rsid w:val="0033136F"/>
    <w:rsid w:val="00346825"/>
    <w:rsid w:val="00376D55"/>
    <w:rsid w:val="00396EE9"/>
    <w:rsid w:val="003A43D4"/>
    <w:rsid w:val="003C1354"/>
    <w:rsid w:val="003D3503"/>
    <w:rsid w:val="00404CF8"/>
    <w:rsid w:val="00423DCE"/>
    <w:rsid w:val="00431807"/>
    <w:rsid w:val="00436934"/>
    <w:rsid w:val="004442AC"/>
    <w:rsid w:val="00473DF3"/>
    <w:rsid w:val="00476EA3"/>
    <w:rsid w:val="0047702E"/>
    <w:rsid w:val="0048510A"/>
    <w:rsid w:val="0048514C"/>
    <w:rsid w:val="00495970"/>
    <w:rsid w:val="004A1494"/>
    <w:rsid w:val="004D0B41"/>
    <w:rsid w:val="004D1D63"/>
    <w:rsid w:val="004F5D1F"/>
    <w:rsid w:val="0053497B"/>
    <w:rsid w:val="005433FA"/>
    <w:rsid w:val="00564264"/>
    <w:rsid w:val="005807B6"/>
    <w:rsid w:val="00587360"/>
    <w:rsid w:val="005A1BA9"/>
    <w:rsid w:val="005A60D1"/>
    <w:rsid w:val="0060354B"/>
    <w:rsid w:val="00611079"/>
    <w:rsid w:val="006162AD"/>
    <w:rsid w:val="00616C0C"/>
    <w:rsid w:val="00623210"/>
    <w:rsid w:val="006254B8"/>
    <w:rsid w:val="0062660A"/>
    <w:rsid w:val="00640975"/>
    <w:rsid w:val="00647B50"/>
    <w:rsid w:val="00672193"/>
    <w:rsid w:val="00676F0E"/>
    <w:rsid w:val="006F2173"/>
    <w:rsid w:val="006F77A6"/>
    <w:rsid w:val="007007D0"/>
    <w:rsid w:val="007620E0"/>
    <w:rsid w:val="007701D2"/>
    <w:rsid w:val="007939F3"/>
    <w:rsid w:val="0079721B"/>
    <w:rsid w:val="00797A63"/>
    <w:rsid w:val="007B0F1C"/>
    <w:rsid w:val="007E754D"/>
    <w:rsid w:val="007F3AE2"/>
    <w:rsid w:val="007F54F5"/>
    <w:rsid w:val="0081713D"/>
    <w:rsid w:val="00817644"/>
    <w:rsid w:val="00830C26"/>
    <w:rsid w:val="00844541"/>
    <w:rsid w:val="0089261B"/>
    <w:rsid w:val="008967D7"/>
    <w:rsid w:val="008A4C31"/>
    <w:rsid w:val="008C54CB"/>
    <w:rsid w:val="008D45A3"/>
    <w:rsid w:val="008F5988"/>
    <w:rsid w:val="00902A92"/>
    <w:rsid w:val="0094151E"/>
    <w:rsid w:val="00966AB7"/>
    <w:rsid w:val="009B2F68"/>
    <w:rsid w:val="009C2F6D"/>
    <w:rsid w:val="009D25A3"/>
    <w:rsid w:val="009D34CC"/>
    <w:rsid w:val="009E0501"/>
    <w:rsid w:val="009E09CD"/>
    <w:rsid w:val="00A02E4F"/>
    <w:rsid w:val="00A408AD"/>
    <w:rsid w:val="00A521B6"/>
    <w:rsid w:val="00A64B8B"/>
    <w:rsid w:val="00AB18F6"/>
    <w:rsid w:val="00AC0D08"/>
    <w:rsid w:val="00AE560A"/>
    <w:rsid w:val="00AE7417"/>
    <w:rsid w:val="00B2145A"/>
    <w:rsid w:val="00B3305F"/>
    <w:rsid w:val="00B412BC"/>
    <w:rsid w:val="00B4431E"/>
    <w:rsid w:val="00B529CC"/>
    <w:rsid w:val="00B67200"/>
    <w:rsid w:val="00B72BF9"/>
    <w:rsid w:val="00B9110E"/>
    <w:rsid w:val="00B9477C"/>
    <w:rsid w:val="00BD7E38"/>
    <w:rsid w:val="00BE74FC"/>
    <w:rsid w:val="00BF719B"/>
    <w:rsid w:val="00C3219D"/>
    <w:rsid w:val="00C45C14"/>
    <w:rsid w:val="00CC7FD0"/>
    <w:rsid w:val="00D01155"/>
    <w:rsid w:val="00D36AC0"/>
    <w:rsid w:val="00D54D47"/>
    <w:rsid w:val="00D552F4"/>
    <w:rsid w:val="00D61010"/>
    <w:rsid w:val="00D66ED7"/>
    <w:rsid w:val="00D74D97"/>
    <w:rsid w:val="00D80BC3"/>
    <w:rsid w:val="00D932FF"/>
    <w:rsid w:val="00DB1C60"/>
    <w:rsid w:val="00DF0850"/>
    <w:rsid w:val="00E14FC9"/>
    <w:rsid w:val="00E21B50"/>
    <w:rsid w:val="00E2312E"/>
    <w:rsid w:val="00E30A23"/>
    <w:rsid w:val="00E50650"/>
    <w:rsid w:val="00E521F0"/>
    <w:rsid w:val="00E9451A"/>
    <w:rsid w:val="00F20A7A"/>
    <w:rsid w:val="00F70CE0"/>
    <w:rsid w:val="00F90870"/>
    <w:rsid w:val="00FA4F1F"/>
    <w:rsid w:val="00FE240B"/>
    <w:rsid w:val="00FF36A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7F4A03-BB9A-46A7-AF1C-3EBDC2378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1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D01155"/>
    <w:rPr>
      <w:sz w:val="16"/>
      <w:szCs w:val="16"/>
    </w:rPr>
  </w:style>
  <w:style w:type="paragraph" w:styleId="CommentText">
    <w:name w:val="annotation text"/>
    <w:basedOn w:val="Normal"/>
    <w:link w:val="CommentTextChar"/>
    <w:uiPriority w:val="99"/>
    <w:semiHidden/>
    <w:unhideWhenUsed/>
    <w:rsid w:val="00D01155"/>
    <w:pPr>
      <w:spacing w:line="240" w:lineRule="auto"/>
    </w:pPr>
    <w:rPr>
      <w:sz w:val="20"/>
      <w:szCs w:val="20"/>
    </w:rPr>
  </w:style>
  <w:style w:type="character" w:customStyle="1" w:styleId="CommentTextChar">
    <w:name w:val="Comment Text Char"/>
    <w:basedOn w:val="DefaultParagraphFont"/>
    <w:link w:val="CommentText"/>
    <w:uiPriority w:val="99"/>
    <w:semiHidden/>
    <w:rsid w:val="00D01155"/>
    <w:rPr>
      <w:sz w:val="20"/>
      <w:szCs w:val="20"/>
    </w:rPr>
  </w:style>
  <w:style w:type="paragraph" w:styleId="CommentSubject">
    <w:name w:val="annotation subject"/>
    <w:basedOn w:val="CommentText"/>
    <w:next w:val="CommentText"/>
    <w:link w:val="CommentSubjectChar"/>
    <w:uiPriority w:val="99"/>
    <w:semiHidden/>
    <w:unhideWhenUsed/>
    <w:rsid w:val="00D01155"/>
    <w:rPr>
      <w:b/>
      <w:bCs/>
    </w:rPr>
  </w:style>
  <w:style w:type="character" w:customStyle="1" w:styleId="CommentSubjectChar">
    <w:name w:val="Comment Subject Char"/>
    <w:basedOn w:val="CommentTextChar"/>
    <w:link w:val="CommentSubject"/>
    <w:uiPriority w:val="99"/>
    <w:semiHidden/>
    <w:rsid w:val="00D01155"/>
    <w:rPr>
      <w:b/>
      <w:bCs/>
      <w:sz w:val="20"/>
      <w:szCs w:val="20"/>
    </w:rPr>
  </w:style>
  <w:style w:type="paragraph" w:styleId="BalloonText">
    <w:name w:val="Balloon Text"/>
    <w:basedOn w:val="Normal"/>
    <w:link w:val="BalloonTextChar"/>
    <w:uiPriority w:val="99"/>
    <w:semiHidden/>
    <w:unhideWhenUsed/>
    <w:rsid w:val="00D011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1155"/>
    <w:rPr>
      <w:rFonts w:ascii="Segoe UI" w:hAnsi="Segoe UI" w:cs="Segoe UI"/>
      <w:sz w:val="18"/>
      <w:szCs w:val="18"/>
    </w:rPr>
  </w:style>
  <w:style w:type="paragraph" w:styleId="ListParagraph">
    <w:name w:val="List Paragraph"/>
    <w:basedOn w:val="Normal"/>
    <w:uiPriority w:val="34"/>
    <w:qFormat/>
    <w:rsid w:val="009E09CD"/>
    <w:pPr>
      <w:ind w:left="720"/>
      <w:contextualSpacing/>
    </w:pPr>
  </w:style>
  <w:style w:type="table" w:styleId="PlainTable4">
    <w:name w:val="Plain Table 4"/>
    <w:basedOn w:val="TableNormal"/>
    <w:uiPriority w:val="44"/>
    <w:rsid w:val="00376D5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2.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word/media/5b31a42c-622f-4826-94b0-68c00dd367e5.jpeg" Id="Rf0fee50cc0244a01" /><Relationship Type="http://schemas.openxmlformats.org/officeDocument/2006/relationships/hyperlink" Target="mailto:elizabeth.adams@hoganlovells.com" TargetMode="External" Id="R36b91b7adeeb43ad" /><Relationship Type="http://schemas.openxmlformats.org/officeDocument/2006/relationships/hyperlink" Target="https://mc-7c5ead77-4153-4f21-9a29-b0c7-cm.azurewebsites.net//en/service/tax" TargetMode="External" Id="Re987aa3b49bf4e08" /><Relationship Type="http://schemas.openxmlformats.org/officeDocument/2006/relationships/hyperlink" Target="https://mc-7c5ead77-4153-4f21-9a29-b0c7-cm.azurewebsites.net//en/sector/financial-institutions" TargetMode="External" Id="R90a0f898863642b5" /><Relationship Type="http://schemas.openxmlformats.org/officeDocument/2006/relationships/hyperlink" Target="https://mc-7c5ead77-4153-4f21-9a29-b0c7-cm.azurewebsites.net//en/sector/private-capital" TargetMode="External" Id="Rcc00944681b243ed" /><Relationship Type="http://schemas.openxmlformats.org/officeDocument/2006/relationships/hyperlink" Target="https://mc-7c5ead77-4153-4f21-9a29-b0c7-cm.azurewebsites.net//en/sector/real-estate" TargetMode="External" Id="R5f90fc56e6e94551" /></Relationships>
</file>

<file path=word/_rels/fontTable.xml.rels>&#65279;<?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numbering.xml.rels>&#65279;<?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2EA9-7C84-4A3F-97AA-47ABD2406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2</Pages>
  <Words>112</Words>
  <Characters>642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Meenakshi Aggarwal</dc:creator>
  <cp:keywords/>
  <dc:description/>
  <cp:lastModifiedBy>Diksha Gupta</cp:lastModifiedBy>
  <cp:revision>86</cp:revision>
  <dcterms:created xsi:type="dcterms:W3CDTF">2017-05-23T15:09:00Z</dcterms:created>
  <dcterms:modified xsi:type="dcterms:W3CDTF">2018-03-27T11:28:00Z</dcterms:modified>
</cp:coreProperties>
</file>