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Ben Hornan</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London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A partner in Hogan Lovells' international arbitration team based in London, Ben represents clients on complex, high value, cross-border disputes.  Ben focuses on the oil &amp; gas, mining &amp; commodities, life-sciences, and financial services sectors. Ben has particular experience of arbitrations involving Russia and the CIS region, as well as Asia and Africa.</w:t>
                  </w:r>
                  <w:r>
                    <w:br/>
                  </w:r>
                </w:p>
                <w:p>
                  <w:pPr>
                    <w:spacing w:line="276"/>
                  </w:pPr>
                  <w:r>
                    <w:rPr>
                      <w:rFonts w:ascii="Georgia" w:hAnsi="Georgia" w:cs="Georgia"/>
                      <w:sz w:val="24"/>
                      <w:szCs w:val="24"/>
                    </w:rPr>
                    <w:t>Over the years, Ben has handled numerous arbitration proceedings under the ICC, LCIA, SIAC, HKIAC, UNCITRAL and other sets of arbitral rules. This has included arbitrations seated not only in London but in several other jurisdictions too – from Singapore to Istanbul.</w:t>
                  </w:r>
                  <w:r>
                    <w:br/>
                  </w:r>
                </w:p>
                <w:p>
                  <w:pPr>
                    <w:spacing w:line="276"/>
                  </w:pPr>
                  <w:r>
                    <w:rPr>
                      <w:rFonts w:ascii="Georgia" w:hAnsi="Georgia" w:cs="Georgia"/>
                      <w:sz w:val="24"/>
                      <w:szCs w:val="24"/>
                    </w:rPr>
                    <w:t>Ben has also been involved in national court proceedings in relation to all aspects of the arbitration process – including jurisdiction challenges, applications for injunctions, and the enforcement of awards – in several jurisdictions, including England, Cyprus, the Cayman Islands and the British Virgin Islands.</w:t>
                  </w:r>
                  <w:r>
                    <w:br/>
                  </w:r>
                </w:p>
                <w:p>
                  <w:pPr>
                    <w:spacing w:line="276"/>
                  </w:pPr>
                  <w:r>
                    <w:rPr>
                      <w:rFonts w:ascii="Georgia" w:hAnsi="Georgia" w:cs="Georgia"/>
                      <w:sz w:val="24"/>
                      <w:szCs w:val="24"/>
                    </w:rPr>
                    <w:t>An experienced advocate, Ben conducts advocacy and cross-examination at all stages of the arbitration process. Ben also has full rights of audience for civil matters at all levels of the English courts.    </w:t>
                  </w:r>
                  <w:r>
                    <w:br/>
                  </w:r>
                </w:p>
                <w:p>
                  <w:pPr>
                    <w:spacing w:line="276"/>
                  </w:pPr>
                  <w:r>
                    <w:rPr>
                      <w:rFonts w:ascii="Georgia" w:hAnsi="Georgia" w:cs="Georgia"/>
                      <w:sz w:val="24"/>
                      <w:szCs w:val="24"/>
                    </w:rPr>
                    <w:t>Ben is known for being hard-working, determined and highly commercial. He comes recommended by Legal 500 (2019, 2020 and 2021 editions) as being an “excellent lawyer”, “dynamic”, and having “real arbitration experience and expertise”.  One client testimonial singled out Ben's “thorough knowledge of the arbitration process and ability to navigate and manage highly complex matters…combined with an impressive sense of commercial realities and practicalities".</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Acting for a global energy and petrochemicals company in an ICC arbitration in connection with the sale of crude oil in Gabon.</w:t>
                  </w:r>
                  <w:r>
                    <w:rPr>
                      <w:lang w:val="en-US"/>
                      <w:u w:val="none"/>
                    </w:rPr>
                    <w:br/>
                  </w:r>
                  <w:r>
                    <w:rPr>
                      <w:lang w:val="en-US"/>
                      <w:u w:val="none"/>
                    </w:rPr>
                    <w:br/>
                  </w:r>
                  <w:r>
                    <w:rPr>
                      <w:lang w:val="en-US"/>
                      <w:rFonts w:ascii="Georgia" w:hAnsi="Georgia" w:cs="Georgia"/>
                      <w:u w:val="none"/>
                      <w:sz w:val="24"/>
                      <w:szCs w:val="24"/>
                      <w:color w:val="000000"/>
                    </w:rPr>
                    <w:t>Acting for a major international brewer in an ICC arbitration in connection with a joint venture dispute in Kenya.</w:t>
                  </w:r>
                  <w:r>
                    <w:rPr>
                      <w:lang w:val="en-US"/>
                      <w:u w:val="none"/>
                    </w:rPr>
                    <w:br/>
                  </w:r>
                  <w:r>
                    <w:rPr>
                      <w:lang w:val="en-US"/>
                      <w:u w:val="none"/>
                    </w:rPr>
                    <w:br/>
                  </w:r>
                  <w:r>
                    <w:rPr>
                      <w:lang w:val="en-US"/>
                      <w:rFonts w:ascii="Georgia" w:hAnsi="Georgia" w:cs="Georgia"/>
                      <w:u w:val="none"/>
                      <w:sz w:val="24"/>
                      <w:szCs w:val="24"/>
                      <w:color w:val="000000"/>
                    </w:rPr>
                    <w:t>Advising a major Indonesian energy company regarding the price review provisions in several multi-million dollar contracts for the supply of liquefied natural gas.</w:t>
                  </w:r>
                  <w:r>
                    <w:rPr>
                      <w:lang w:val="en-US"/>
                      <w:u w:val="none"/>
                    </w:rPr>
                    <w:br/>
                  </w:r>
                  <w:r>
                    <w:rPr>
                      <w:lang w:val="en-US"/>
                      <w:u w:val="none"/>
                    </w:rPr>
                    <w:br/>
                  </w:r>
                  <w:r>
                    <w:rPr>
                      <w:lang w:val="en-US"/>
                      <w:rFonts w:ascii="Georgia" w:hAnsi="Georgia" w:cs="Georgia"/>
                      <w:u w:val="none"/>
                      <w:sz w:val="24"/>
                      <w:szCs w:val="24"/>
                      <w:color w:val="000000"/>
                    </w:rPr>
                    <w:t>Advising a major Chinese energy company in relation to the price provisions in long term crude oil supply contracts with two Russian counterparties.</w:t>
                  </w:r>
                  <w:r>
                    <w:rPr>
                      <w:lang w:val="en-US"/>
                      <w:u w:val="none"/>
                    </w:rPr>
                    <w:br/>
                  </w:r>
                  <w:r>
                    <w:rPr>
                      <w:lang w:val="en-US"/>
                      <w:u w:val="none"/>
                    </w:rPr>
                    <w:br/>
                  </w:r>
                  <w:r>
                    <w:rPr>
                      <w:lang w:val="en-US"/>
                      <w:rFonts w:ascii="Georgia" w:hAnsi="Georgia" w:cs="Georgia"/>
                      <w:u w:val="none"/>
                      <w:sz w:val="24"/>
                      <w:szCs w:val="24"/>
                      <w:color w:val="000000"/>
                    </w:rPr>
                    <w:t>Acting for a British Virgin Islands company in an LCIA arbitration against a Romanian company relating to an alumina supply contract.</w:t>
                  </w:r>
                  <w:r>
                    <w:rPr>
                      <w:lang w:val="en-US"/>
                      <w:u w:val="none"/>
                    </w:rPr>
                    <w:br/>
                  </w:r>
                  <w:r>
                    <w:rPr>
                      <w:lang w:val="en-US"/>
                      <w:u w:val="none"/>
                    </w:rPr>
                    <w:br/>
                  </w:r>
                  <w:r>
                    <w:rPr>
                      <w:lang w:val="en-US"/>
                      <w:rFonts w:ascii="Georgia" w:hAnsi="Georgia" w:cs="Georgia"/>
                      <w:u w:val="none"/>
                      <w:sz w:val="24"/>
                      <w:szCs w:val="24"/>
                      <w:color w:val="000000"/>
                    </w:rPr>
                    <w:t>Acting for a U.S. pharmaceutical company against its Spanish distributor in an ICC arbitration arising out of a contract governed by Pennsylvanian law.</w:t>
                  </w:r>
                  <w:r>
                    <w:rPr>
                      <w:lang w:val="en-US"/>
                      <w:u w:val="none"/>
                    </w:rPr>
                    <w:br/>
                  </w:r>
                  <w:r>
                    <w:rPr>
                      <w:lang w:val="en-US"/>
                      <w:u w:val="none"/>
                    </w:rPr>
                    <w:br/>
                  </w:r>
                  <w:r>
                    <w:rPr>
                      <w:lang w:val="en-US"/>
                      <w:rFonts w:ascii="Georgia" w:hAnsi="Georgia" w:cs="Georgia"/>
                      <w:u w:val="none"/>
                      <w:sz w:val="24"/>
                      <w:szCs w:val="24"/>
                      <w:color w:val="000000"/>
                    </w:rPr>
                    <w:t>Acting for an international steel trading company in an LCIA arbitration against a Portuguese purchaser.</w:t>
                  </w:r>
                  <w:r>
                    <w:rPr>
                      <w:lang w:val="en-US"/>
                      <w:u w:val="none"/>
                    </w:rPr>
                    <w:br/>
                  </w:r>
                  <w:r>
                    <w:rPr>
                      <w:lang w:val="en-US"/>
                      <w:u w:val="none"/>
                    </w:rPr>
                    <w:br/>
                  </w:r>
                  <w:r>
                    <w:rPr>
                      <w:lang w:val="en-US"/>
                      <w:rFonts w:ascii="Georgia" w:hAnsi="Georgia" w:cs="Georgia"/>
                      <w:u w:val="none"/>
                      <w:sz w:val="24"/>
                      <w:szCs w:val="24"/>
                      <w:color w:val="000000"/>
                    </w:rPr>
                    <w:t>Acting for a leading aircraft manufacturer in a dispute with an Indian freighter airline.</w:t>
                  </w:r>
                  <w:r>
                    <w:rPr>
                      <w:lang w:val="en-US"/>
                      <w:u w:val="none"/>
                    </w:rPr>
                    <w:br/>
                  </w:r>
                  <w:r>
                    <w:rPr>
                      <w:lang w:val="en-US"/>
                      <w:u w:val="none"/>
                    </w:rPr>
                    <w:br/>
                  </w:r>
                  <w:r>
                    <w:rPr>
                      <w:lang w:val="en-US"/>
                      <w:rFonts w:ascii="Georgia" w:hAnsi="Georgia" w:cs="Georgia"/>
                      <w:u w:val="none"/>
                      <w:sz w:val="24"/>
                      <w:szCs w:val="24"/>
                      <w:color w:val="000000"/>
                    </w:rPr>
                    <w:t>Advising a leading U.S. food manufacturer in a joint venture dispute with its Italian joint venture partner.</w:t>
                  </w:r>
                  <w:r>
                    <w:rPr>
                      <w:lang w:val="en-US"/>
                      <w:u w:val="none"/>
                    </w:rPr>
                    <w:br/>
                  </w:r>
                  <w:r>
                    <w:rPr>
                      <w:lang w:val="en-US"/>
                      <w:u w:val="none"/>
                    </w:rPr>
                    <w:br/>
                  </w:r>
                  <w:r>
                    <w:rPr>
                      <w:lang w:val="en-US"/>
                      <w:rFonts w:ascii="Georgia" w:hAnsi="Georgia" w:cs="Georgia"/>
                      <w:u w:val="none"/>
                      <w:sz w:val="24"/>
                      <w:szCs w:val="24"/>
                      <w:color w:val="000000"/>
                    </w:rPr>
                    <w:t>Acting for a global manufacturer of generic and speciality pharmaceutical products in a potential arbitration alleging regulatory and contractual breaches following divestiture of certain products.  </w:t>
                  </w:r>
                  <w:r>
                    <w:rPr>
                      <w:lang w:val="en-US"/>
                      <w:u w:val="none"/>
                    </w:rPr>
                    <w:br/>
                  </w:r>
                  <w:r>
                    <w:rPr>
                      <w:lang w:val="en-US"/>
                      <w:u w:val="none"/>
                    </w:rPr>
                    <w:br/>
                  </w:r>
                  <w:r>
                    <w:rPr>
                      <w:lang w:val="en-US"/>
                      <w:rFonts w:ascii="Georgia" w:hAnsi="Georgia" w:cs="Georgia"/>
                      <w:u w:val="none"/>
                      <w:sz w:val="24"/>
                      <w:szCs w:val="24"/>
                      <w:color w:val="000000"/>
                    </w:rPr>
                    <w:t>Advising a major European pharmaceuticals company in relation to a number of commercial disputes arising from non-compliances by its supply chain with relevant mandatory regulations.</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Lawdragon Global Litigation 500 - Ben was named in the following categories: International Arbitration &amp; Litigation, 2021</w:t>
                  </w:r>
                </w:p>
              </w:tc>
            </w:tr>
            <w:tr>
              <w:tc>
                <w:tcPr>
                  <w:tcW w:w="5846.4" w:type="dxa"/>
                </w:tcPr>
                <w:p>
                  <w:pPr/>
                </w:p>
                <w:p>
                  <w:pPr>
                    <w:numPr>
                      <w:ilvl w:val="0"/>
                      <w:numId w:val="5"/>
                    </w:numPr>
                    <w:spacing w:after="0"/>
                  </w:pPr>
                  <w:r>
                    <w:rPr>
                      <w:rFonts w:ascii="Georgia" w:hAnsi="Georgia" w:cs="Georgia"/>
                      <w:sz w:val="24"/>
                      <w:szCs w:val="24"/>
                    </w:rPr>
                    <w:t>Legal 500 - Ben was named in the following categories: International Arbitration &amp; Oil and Gas, , 2021</w:t>
                  </w:r>
                </w:p>
              </w:tc>
            </w:tr>
            <w:tr>
              <w:tc>
                <w:tcPr>
                  <w:tcW w:w="5846.4" w:type="dxa"/>
                </w:tcPr>
                <w:p>
                  <w:pPr/>
                </w:p>
                <w:p>
                  <w:pPr>
                    <w:numPr>
                      <w:ilvl w:val="0"/>
                      <w:numId w:val="6"/>
                    </w:numPr>
                    <w:spacing w:after="0"/>
                  </w:pPr>
                  <w:r>
                    <w:rPr>
                      <w:rFonts w:ascii="Georgia" w:hAnsi="Georgia" w:cs="Georgia"/>
                      <w:sz w:val="24"/>
                      <w:szCs w:val="24"/>
                    </w:rPr>
                    <w:t>Legal 500 - Ben was named in the following categories: International Arbitration &amp; Oil and Gas, , 2020</w:t>
                  </w:r>
                </w:p>
              </w:tc>
            </w:tr>
            <w:tr>
              <w:tc>
                <w:tcPr>
                  <w:tcW w:w="5846.4" w:type="dxa"/>
                </w:tcPr>
                <w:p>
                  <w:pPr/>
                </w:p>
                <w:p>
                  <w:pPr>
                    <w:numPr>
                      <w:ilvl w:val="0"/>
                      <w:numId w:val="7"/>
                    </w:numPr>
                    <w:spacing w:after="0"/>
                  </w:pPr>
                  <w:r>
                    <w:rPr>
                      <w:rFonts w:ascii="Georgia" w:hAnsi="Georgia" w:cs="Georgia"/>
                      <w:sz w:val="24"/>
                      <w:szCs w:val="24"/>
                    </w:rPr>
                    <w:t>Legal 500 - Ben was named in the following categories: International Arbitration &amp; Oil and Gas, , 2019</w:t>
                  </w:r>
                </w:p>
              </w:tc>
            </w:tr>
            <w:tr>
              <w:tc>
                <w:tcPr>
                  <w:tcW w:w="5846.4" w:type="dxa"/>
                </w:tcPr>
                <w:p>
                  <w:pPr/>
                </w:p>
                <w:p>
                  <w:pPr>
                    <w:numPr>
                      <w:ilvl w:val="0"/>
                      <w:numId w:val="8"/>
                    </w:numPr>
                    <w:spacing w:after="0"/>
                  </w:pPr>
                  <w:r>
                    <w:rPr>
                      <w:rFonts w:ascii="Georgia" w:hAnsi="Georgia" w:cs="Georgia"/>
                      <w:sz w:val="24"/>
                      <w:szCs w:val="24"/>
                    </w:rPr>
                    <w:t>Ben was featured in Legal Week's profile on Rising stars: the new generation of litigators making their mark, , 2016</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Football's financial regulation - Towards convergence?</w:t>
                  </w:r>
                  <w:r>
                    <w:rPr>
                      <w:rFonts w:ascii="Georgia" w:hAnsi="Georgia" w:cs="Georgia"/>
                      <w:sz w:val="20"/>
                      <w:szCs w:val="20"/>
                    </w:rPr>
                    <w:br/>
                  </w:r>
                  <w:r>
                    <w:rPr>
                      <w:rFonts w:ascii="Georgia" w:hAnsi="Georgia" w:cs="Georgia"/>
                      <w:sz w:val="20"/>
                      <w:szCs w:val="20"/>
                    </w:rPr>
                    <w:t>23 February 2026</w:t>
                  </w:r>
                </w:p>
              </w:tc>
            </w:tr>
            <w:tr>
              <w:tc>
                <w:tcPr>
                  <w:tcW w:w="5846.4" w:type="dxa"/>
                </w:tcPr>
                <w:p>
                  <w:pPr>
                    <w:spacing w:after="220"/>
                  </w:pPr>
                  <w:r>
                    <w:rPr>
                      <w:lang w:val="en-US"/>
                      <w:rFonts w:ascii="Georgia" w:hAnsi="Georgia" w:cs="Georgia"/>
                      <w:u w:val="none"/>
                      <w:sz w:val="24"/>
                      <w:szCs w:val="24"/>
                      <w:color w:val="58A618"/>
                    </w:rPr>
                    <w:t>Awards &amp; rankings</w:t>
                  </w:r>
                  <w:r>
                    <w:rPr>
                      <w:rFonts w:ascii="Georgia" w:hAnsi="Georgia" w:cs="Georgia"/>
                      <w:sz w:val="24"/>
                      <w:szCs w:val="24"/>
                    </w:rPr>
                    <w:br/>
                  </w:r>
                  <w:r>
                    <w:rPr>
                      <w:rFonts w:ascii="Georgia" w:hAnsi="Georgia" w:cs="Georgia"/>
                      <w:sz w:val="24"/>
                      <w:szCs w:val="24"/>
                    </w:rPr>
                    <w:t>Hogan Lovells Delivers a Strong Performance in Lexology's Arbitration 2026 Index with 22 Lawyers Named</w:t>
                  </w:r>
                  <w:r>
                    <w:rPr>
                      <w:rFonts w:ascii="Georgia" w:hAnsi="Georgia" w:cs="Georgia"/>
                      <w:sz w:val="20"/>
                      <w:szCs w:val="20"/>
                    </w:rPr>
                    <w:br/>
                  </w:r>
                  <w:r>
                    <w:rPr>
                      <w:rFonts w:ascii="Georgia" w:hAnsi="Georgia" w:cs="Georgia"/>
                      <w:sz w:val="20"/>
                      <w:szCs w:val="20"/>
                    </w:rPr>
                    <w:t>26 November 2025</w:t>
                  </w:r>
                </w:p>
              </w:tc>
            </w:tr>
            <w:tr>
              <w:tc>
                <w:tcPr>
                  <w:tcW w:w="5846.4" w:type="dxa"/>
                </w:tcPr>
                <w:p>
                  <w:pPr>
                    <w:spacing w:after="220"/>
                  </w:pPr>
                  <w:r>
                    <w:rPr>
                      <w:lang w:val="en-US"/>
                      <w:rFonts w:ascii="Georgia" w:hAnsi="Georgia" w:cs="Georgia"/>
                      <w:u w:val="none"/>
                      <w:sz w:val="24"/>
                      <w:szCs w:val="24"/>
                      <w:color w:val="58A618"/>
                    </w:rPr>
                    <w:t>Awards &amp; rankings</w:t>
                  </w:r>
                  <w:r>
                    <w:rPr>
                      <w:rFonts w:ascii="Georgia" w:hAnsi="Georgia" w:cs="Georgia"/>
                      <w:sz w:val="24"/>
                      <w:szCs w:val="24"/>
                    </w:rPr>
                    <w:br/>
                  </w:r>
                  <w:r>
                    <w:rPr>
                      <w:rFonts w:ascii="Georgia" w:hAnsi="Georgia" w:cs="Georgia"/>
                      <w:sz w:val="24"/>
                      <w:szCs w:val="24"/>
                    </w:rPr>
                    <w:t>Hogan Lovells wins International Arbitration Team of the Year at the Legal Business Awards</w:t>
                  </w:r>
                  <w:r>
                    <w:rPr>
                      <w:rFonts w:ascii="Georgia" w:hAnsi="Georgia" w:cs="Georgia"/>
                      <w:sz w:val="20"/>
                      <w:szCs w:val="20"/>
                    </w:rPr>
                    <w:br/>
                  </w:r>
                  <w:r>
                    <w:rPr>
                      <w:rFonts w:ascii="Georgia" w:hAnsi="Georgia" w:cs="Georgia"/>
                      <w:sz w:val="20"/>
                      <w:szCs w:val="20"/>
                    </w:rPr>
                    <w:t>02 October 2025</w:t>
                  </w:r>
                </w:p>
              </w:tc>
            </w:tr>
            <w:tr>
              <w:tc>
                <w:tcPr>
                  <w:tcW w:w="5846.4" w:type="dxa"/>
                </w:tcPr>
                <w:p>
                  <w:pPr>
                    <w:spacing w:after="220"/>
                  </w:pPr>
                  <w:r>
                    <w:rPr>
                      <w:lang w:val="en-US"/>
                      <w:rFonts w:ascii="Georgia" w:hAnsi="Georgia" w:cs="Georgia"/>
                      <w:u w:val="none"/>
                      <w:sz w:val="24"/>
                      <w:szCs w:val="24"/>
                      <w:color w:val="58A618"/>
                    </w:rPr>
                    <w:t>Webinar</w:t>
                  </w:r>
                  <w:r>
                    <w:rPr>
                      <w:rFonts w:ascii="Georgia" w:hAnsi="Georgia" w:cs="Georgia"/>
                      <w:sz w:val="24"/>
                      <w:szCs w:val="24"/>
                    </w:rPr>
                    <w:br/>
                  </w:r>
                  <w:r>
                    <w:rPr>
                      <w:rFonts w:ascii="Georgia" w:hAnsi="Georgia" w:cs="Georgia"/>
                      <w:sz w:val="24"/>
                      <w:szCs w:val="24"/>
                    </w:rPr>
                    <w:t>Tariffs escalations: current state of play, and how to mitigate impact on contracts and anticipate potential disputes</w:t>
                  </w:r>
                  <w:r>
                    <w:rPr>
                      <w:rFonts w:ascii="Georgia" w:hAnsi="Georgia" w:cs="Georgia"/>
                      <w:sz w:val="20"/>
                      <w:szCs w:val="20"/>
                    </w:rPr>
                    <w:br/>
                  </w:r>
                  <w:r>
                    <w:rPr>
                      <w:rFonts w:ascii="Georgia" w:hAnsi="Georgia" w:cs="Georgia"/>
                      <w:sz w:val="20"/>
                      <w:szCs w:val="20"/>
                    </w:rPr>
                    <w:t>09 July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Springtime for English arbitration: Arbitration Act 2025 hits the statute book</w:t>
                  </w:r>
                  <w:r>
                    <w:rPr>
                      <w:rFonts w:ascii="Georgia" w:hAnsi="Georgia" w:cs="Georgia"/>
                      <w:sz w:val="20"/>
                      <w:szCs w:val="20"/>
                    </w:rPr>
                    <w:br/>
                  </w:r>
                  <w:r>
                    <w:rPr>
                      <w:rFonts w:ascii="Georgia" w:hAnsi="Georgia" w:cs="Georgia"/>
                      <w:sz w:val="20"/>
                      <w:szCs w:val="20"/>
                    </w:rPr>
                    <w:t>25 February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Illegally binding: will contracts survive the new trade war?</w:t>
                  </w:r>
                  <w:r>
                    <w:rPr>
                      <w:rFonts w:ascii="Georgia" w:hAnsi="Georgia" w:cs="Georgia"/>
                      <w:sz w:val="20"/>
                      <w:szCs w:val="20"/>
                    </w:rPr>
                    <w:br/>
                  </w:r>
                  <w:r>
                    <w:rPr>
                      <w:rFonts w:ascii="Georgia" w:hAnsi="Georgia" w:cs="Georgia"/>
                      <w:sz w:val="20"/>
                      <w:szCs w:val="20"/>
                    </w:rPr>
                    <w:t>18 February 2025</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3da47fa41f498c"/>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+44 20 7296 5701</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+44 20 7296 2001</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803d4a8ba8164120" w:history="1">
                    <w:r>
                      <w:rPr>
                        <w:rStyle w:val="Hyperlink"/>
                        <w:rFonts w:ascii="Georgia" w:hAnsi="Georgia" w:cs="Georgia"/>
                        <w:sz w:val="22"/>
                        <w:szCs w:val="22"/>
                        <w:u w:val="none"/>
                      </w:rPr>
                      <w:t>ben.hornan@hoganlovells.com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p w:rsidR="00D66ED7" w:rsidRPr="00F20A7A" w:rsidRDefault="00D66ED7">
            <w:pPr>
              <w:rPr>
                <w:sz w:val="4"/>
                <w:szCs w:val="4"/>
              </w:rPr>
            </w:pPr>
          </w:p>
          <w:p w:rsidR="00423DCE" w:rsidRPr="007007D0" w:rsidRDefault="00423DCE">
            <w:pPr>
              <w:rPr>
                <w:b w:val="0"/>
                <w:bCs w:val="0"/>
                <w:sz w:val="2"/>
                <w:szCs w:val="2"/>
              </w:rPr>
            </w:pPr>
          </w:p>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f9236b3866b444b2" w:history="1">
                    <w:r>
                      <w:rPr>
                        <w:rStyle w:val="Hyperlink"/>
                        <w:rFonts w:ascii="Georgia" w:hAnsi="Georgia" w:cs="Georgia"/>
                        <w:sz w:val="24"/>
                        <w:szCs w:val="24"/>
                      </w:rPr>
                      <w:t>Commercial Litigation</w:t>
                    </w:r>
                  </w:hyperlink>
                </w:p>
              </w:tc>
            </w:tr>
            <w:tr>
              <w:tc>
                <w:tcPr>
                  <w:tcW w:w="3686.4" w:type="dxa"/>
                </w:tcPr>
                <w:p>
                  <w:pPr>
                    <w:spacing w:after="220"/>
                  </w:pPr>
                  <w:hyperlink r:id="R40bae5eeaa7a4866" w:history="1">
                    <w:r>
                      <w:rPr>
                        <w:rStyle w:val="Hyperlink"/>
                        <w:rFonts w:ascii="Georgia" w:hAnsi="Georgia" w:cs="Georgia"/>
                        <w:sz w:val="24"/>
                        <w:szCs w:val="24"/>
                      </w:rPr>
                      <w:t>Corporate and Securities Litigation</w:t>
                    </w:r>
                  </w:hyperlink>
                </w:p>
              </w:tc>
            </w:tr>
            <w:tr>
              <w:tc>
                <w:tcPr>
                  <w:tcW w:w="3686.4" w:type="dxa"/>
                </w:tcPr>
                <w:p>
                  <w:pPr>
                    <w:spacing w:after="220"/>
                  </w:pPr>
                  <w:hyperlink r:id="R10add8c457da461d" w:history="1">
                    <w:r>
                      <w:rPr>
                        <w:rStyle w:val="Hyperlink"/>
                        <w:rFonts w:ascii="Georgia" w:hAnsi="Georgia" w:cs="Georgia"/>
                        <w:sz w:val="24"/>
                        <w:szCs w:val="24"/>
                      </w:rPr>
                      <w:t>Energy Disputes</w:t>
                    </w:r>
                  </w:hyperlink>
                </w:p>
              </w:tc>
            </w:tr>
            <w:tr>
              <w:tc>
                <w:tcPr>
                  <w:tcW w:w="3686.4" w:type="dxa"/>
                </w:tcPr>
                <w:p>
                  <w:pPr>
                    <w:spacing w:after="220"/>
                  </w:pPr>
                  <w:hyperlink r:id="R9867cf50a05b481f" w:history="1">
                    <w:r>
                      <w:rPr>
                        <w:rStyle w:val="Hyperlink"/>
                        <w:rFonts w:ascii="Georgia" w:hAnsi="Georgia" w:cs="Georgia"/>
                        <w:sz w:val="24"/>
                        <w:szCs w:val="24"/>
                      </w:rPr>
                      <w:t>International Arbitration</w:t>
                    </w:r>
                  </w:hyperlink>
                </w:p>
              </w:tc>
            </w:tr>
            <w:tr>
              <w:tc>
                <w:tcPr>
                  <w:tcW w:w="3686.4" w:type="dxa"/>
                </w:tcPr>
                <w:p>
                  <w:pPr>
                    <w:spacing w:after="220"/>
                  </w:pPr>
                  <w:hyperlink r:id="R008eef599fc74788" w:history="1">
                    <w:r>
                      <w:rPr>
                        <w:rStyle w:val="Hyperlink"/>
                        <w:rFonts w:ascii="Georgia" w:hAnsi="Georgia" w:cs="Georgia"/>
                        <w:sz w:val="24"/>
                        <w:szCs w:val="24"/>
                      </w:rPr>
                      <w:t>Litigation Services</w:t>
                    </w:r>
                  </w:hyperlink>
                </w:p>
              </w:tc>
            </w:tr>
            <w:tr>
              <w:tc>
                <w:tcPr>
                  <w:tcW w:w="3686.4" w:type="dxa"/>
                </w:tcPr>
                <w:p>
                  <w:pPr>
                    <w:spacing w:after="220"/>
                  </w:pPr>
                  <w:hyperlink r:id="R6f9d809f049b4889" w:history="1">
                    <w:r>
                      <w:rPr>
                        <w:rStyle w:val="Hyperlink"/>
                        <w:rFonts w:ascii="Georgia" w:hAnsi="Georgia" w:cs="Georgia"/>
                        <w:sz w:val="24"/>
                        <w:szCs w:val="24"/>
                      </w:rPr>
                      <w:t>IP Litigation</w:t>
                    </w:r>
                  </w:hyperlink>
                </w:p>
              </w:tc>
            </w:tr>
            <w:tr>
              <w:tc>
                <w:tcPr>
                  <w:tcW w:w="3686.4" w:type="dxa"/>
                </w:tcPr>
                <w:p>
                  <w:pPr>
                    <w:spacing w:after="220"/>
                  </w:pPr>
                  <w:hyperlink r:id="R95e92712d9264970" w:history="1">
                    <w:r>
                      <w:rPr>
                        <w:rStyle w:val="Hyperlink"/>
                        <w:rFonts w:ascii="Georgia" w:hAnsi="Georgia" w:cs="Georgia"/>
                        <w:sz w:val="24"/>
                        <w:szCs w:val="24"/>
                      </w:rPr>
                      <w:t>Africa Practice</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798b25d8de564867" w:history="1">
                    <w:r>
                      <w:rPr>
                        <w:rStyle w:val="Hyperlink"/>
                        <w:rFonts w:ascii="Georgia" w:hAnsi="Georgia" w:cs="Georgia"/>
                        <w:sz w:val="24"/>
                        <w:szCs w:val="24"/>
                      </w:rPr>
                      <w:t>Aerospace and Defense</w:t>
                    </w:r>
                  </w:hyperlink>
                </w:p>
              </w:tc>
            </w:tr>
            <w:tr>
              <w:tc>
                <w:tcPr>
                  <w:tcW w:w="3686.4" w:type="dxa"/>
                </w:tcPr>
                <w:p>
                  <w:pPr>
                    <w:spacing w:after="220"/>
                  </w:pPr>
                  <w:hyperlink r:id="Rd9883e2873b54083" w:history="1">
                    <w:r>
                      <w:rPr>
                        <w:rStyle w:val="Hyperlink"/>
                        <w:rFonts w:ascii="Georgia" w:hAnsi="Georgia" w:cs="Georgia"/>
                        <w:sz w:val="24"/>
                        <w:szCs w:val="24"/>
                      </w:rPr>
                      <w:t>Manufacturing and Industrials</w:t>
                    </w:r>
                  </w:hyperlink>
                </w:p>
              </w:tc>
            </w:tr>
            <w:tr>
              <w:tc>
                <w:tcPr>
                  <w:tcW w:w="3686.4" w:type="dxa"/>
                </w:tcPr>
                <w:p>
                  <w:pPr>
                    <w:spacing w:after="220"/>
                  </w:pPr>
                  <w:hyperlink r:id="R6ade3a13615b45f1" w:history="1">
                    <w:r>
                      <w:rPr>
                        <w:rStyle w:val="Hyperlink"/>
                        <w:rFonts w:ascii="Georgia" w:hAnsi="Georgia" w:cs="Georgia"/>
                        <w:sz w:val="24"/>
                        <w:szCs w:val="24"/>
                      </w:rPr>
                      <w:t>Energy</w:t>
                    </w:r>
                  </w:hyperlink>
                </w:p>
              </w:tc>
            </w:tr>
            <w:tr>
              <w:tc>
                <w:tcPr>
                  <w:tcW w:w="3686.4" w:type="dxa"/>
                </w:tcPr>
                <w:p>
                  <w:pPr>
                    <w:spacing w:after="220"/>
                  </w:pPr>
                  <w:hyperlink r:id="Rbb64fea467cd4f88" w:history="1">
                    <w:r>
                      <w:rPr>
                        <w:rStyle w:val="Hyperlink"/>
                        <w:rFonts w:ascii="Georgia" w:hAnsi="Georgia" w:cs="Georgia"/>
                        <w:sz w:val="24"/>
                        <w:szCs w:val="24"/>
                      </w:rPr>
                      <w:t>Life Sciences and Health Care</w:t>
                    </w:r>
                  </w:hyperlink>
                </w:p>
              </w:tc>
            </w:tr>
            <w:tr>
              <w:tc>
                <w:tcPr>
                  <w:tcW w:w="3686.4" w:type="dxa"/>
                </w:tcPr>
                <w:p>
                  <w:pPr>
                    <w:spacing w:after="220"/>
                  </w:pPr>
                  <w:hyperlink r:id="Rc16a4343885b4da0" w:history="1">
                    <w:r>
                      <w:rPr>
                        <w:rStyle w:val="Hyperlink"/>
                        <w:rFonts w:ascii="Georgia" w:hAnsi="Georgia" w:cs="Georgia"/>
                        <w:sz w:val="24"/>
                        <w:szCs w:val="24"/>
                      </w:rPr>
                      <w:t>Real Estate</w:t>
                    </w:r>
                  </w:hyperlink>
                </w:p>
              </w:tc>
            </w:tr>
            <w:tr>
              <w:tc>
                <w:tcPr>
                  <w:tcW w:w="3686.4" w:type="dxa"/>
                </w:tcPr>
                <w:p>
                  <w:pPr>
                    <w:spacing w:after="220"/>
                  </w:pPr>
                  <w:hyperlink r:id="Rf5fbcadecf5d4fb6" w:history="1">
                    <w:r>
                      <w:rPr>
                        <w:rStyle w:val="Hyperlink"/>
                        <w:rFonts w:ascii="Georgia" w:hAnsi="Georgia" w:cs="Georgia"/>
                        <w:sz w:val="24"/>
                        <w:szCs w:val="24"/>
                      </w:rPr>
                      <w:t>Technology</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a3b30c6fc81c4d4b" w:history="1">
                    <w:r>
                      <w:rPr>
                        <w:rStyle w:val="Hyperlink"/>
                        <w:rFonts w:ascii="Georgia" w:hAnsi="Georgia" w:cs="Georgia"/>
                        <w:sz w:val="24"/>
                        <w:szCs w:val="24"/>
                      </w:rPr>
                      <w:t>Alternative Dispute Resolution</w:t>
                    </w:r>
                  </w:hyperlink>
                </w:p>
              </w:tc>
            </w:tr>
            <w:tr>
              <w:tc>
                <w:tcPr>
                  <w:tcW w:w="3686.4" w:type="dxa"/>
                </w:tcPr>
                <w:p>
                  <w:pPr>
                    <w:spacing w:after="220"/>
                  </w:pPr>
                  <w:hyperlink r:id="Rdd86663b1bf643c9" w:history="1">
                    <w:r>
                      <w:rPr>
                        <w:rStyle w:val="Hyperlink"/>
                        <w:rFonts w:ascii="Georgia" w:hAnsi="Georgia" w:cs="Georgia"/>
                        <w:sz w:val="24"/>
                        <w:szCs w:val="24"/>
                      </w:rPr>
                      <w:t>Commercial Litigation</w:t>
                    </w:r>
                  </w:hyperlink>
                </w:p>
              </w:tc>
            </w:tr>
            <w:tr>
              <w:tc>
                <w:tcPr>
                  <w:tcW w:w="3686.4" w:type="dxa"/>
                </w:tcPr>
                <w:p>
                  <w:pPr>
                    <w:spacing w:after="220"/>
                  </w:pPr>
                  <w:hyperlink r:id="Rf61a77962b6f4611" w:history="1">
                    <w:r>
                      <w:rPr>
                        <w:rStyle w:val="Hyperlink"/>
                        <w:rFonts w:ascii="Georgia" w:hAnsi="Georgia" w:cs="Georgia"/>
                        <w:sz w:val="24"/>
                        <w:szCs w:val="24"/>
                      </w:rPr>
                      <w:t>Mining and Resources</w:t>
                    </w:r>
                  </w:hyperlink>
                </w:p>
              </w:tc>
            </w:tr>
            <w:tr>
              <w:tc>
                <w:tcPr>
                  <w:tcW w:w="3686.4" w:type="dxa"/>
                </w:tcPr>
                <w:p>
                  <w:pPr>
                    <w:spacing w:after="220"/>
                  </w:pPr>
                  <w:hyperlink r:id="R829b719fb4294298" w:history="1">
                    <w:r>
                      <w:rPr>
                        <w:rStyle w:val="Hyperlink"/>
                        <w:rFonts w:ascii="Georgia" w:hAnsi="Georgia" w:cs="Georgia"/>
                        <w:sz w:val="24"/>
                        <w:szCs w:val="24"/>
                      </w:rPr>
                      <w:t>OIL, GAS &amp; LNG</w:t>
                    </w:r>
                  </w:hyperlink>
                </w:p>
              </w:tc>
            </w:tr>
            <w:tr>
              <w:tc>
                <w:tcPr>
                  <w:tcW w:w="3686.4" w:type="dxa"/>
                </w:tcPr>
                <w:p>
                  <w:pPr>
                    <w:spacing w:after="220"/>
                  </w:pPr>
                  <w:hyperlink r:id="R28eb207c396341e3" w:history="1">
                    <w:r>
                      <w:rPr>
                        <w:rStyle w:val="Hyperlink"/>
                        <w:rFonts w:ascii="Georgia" w:hAnsi="Georgia" w:cs="Georgia"/>
                        <w:sz w:val="24"/>
                        <w:szCs w:val="24"/>
                      </w:rPr>
                      <w:t>Oil and Gas: Liquefied Natural Gas (LNG)</w:t>
                    </w:r>
                  </w:hyperlink>
                </w:p>
              </w:tc>
            </w:tr>
            <w:tr>
              <w:tc>
                <w:tcPr>
                  <w:tcW w:w="3686.4" w:type="dxa"/>
                </w:tcPr>
                <w:p>
                  <w:pPr>
                    <w:spacing w:after="220"/>
                  </w:pPr>
                  <w:hyperlink r:id="R9e345bbad1f141cb" w:history="1">
                    <w:r>
                      <w:rPr>
                        <w:rStyle w:val="Hyperlink"/>
                        <w:rFonts w:ascii="Georgia" w:hAnsi="Georgia" w:cs="Georgia"/>
                        <w:sz w:val="24"/>
                        <w:szCs w:val="24"/>
                      </w:rPr>
                      <w:t>Oil and Gas: Pipelines and Midstream Facilities</w:t>
                    </w:r>
                  </w:hyperlink>
                </w:p>
              </w:tc>
            </w:tr>
            <w:tr>
              <w:tc>
                <w:tcPr>
                  <w:tcW w:w="3686.4" w:type="dxa"/>
                </w:tcPr>
                <w:p>
                  <w:pPr>
                    <w:spacing w:after="220"/>
                  </w:pPr>
                  <w:hyperlink r:id="R799bab3b6ac647db" w:history="1">
                    <w:r>
                      <w:rPr>
                        <w:rStyle w:val="Hyperlink"/>
                        <w:rFonts w:ascii="Georgia" w:hAnsi="Georgia" w:cs="Georgia"/>
                        <w:sz w:val="24"/>
                        <w:szCs w:val="24"/>
                      </w:rPr>
                      <w:t>Oil and Gas: Supply, Marketing, and Trading</w:t>
                    </w:r>
                  </w:hyperlink>
                </w:p>
              </w:tc>
            </w:tr>
            <w:tr>
              <w:tc>
                <w:tcPr>
                  <w:tcW w:w="3686.4" w:type="dxa"/>
                </w:tcPr>
                <w:p>
                  <w:pPr>
                    <w:spacing w:after="220"/>
                  </w:pPr>
                  <w:hyperlink r:id="R5870d67e3d1948bc" w:history="1">
                    <w:r>
                      <w:rPr>
                        <w:rStyle w:val="Hyperlink"/>
                        <w:rFonts w:ascii="Georgia" w:hAnsi="Georgia" w:cs="Georgia"/>
                        <w:sz w:val="24"/>
                        <w:szCs w:val="24"/>
                      </w:rPr>
                      <w:t>Pharmaceuticals and Biotechnology</w:t>
                    </w:r>
                  </w:hyperlink>
                </w:p>
              </w:tc>
            </w:tr>
            <w:tr>
              <w:tc>
                <w:tcPr>
                  <w:tcW w:w="3686.4" w:type="dxa"/>
                </w:tcPr>
                <w:p>
                  <w:pPr>
                    <w:spacing w:after="220"/>
                  </w:pPr>
                  <w:hyperlink r:id="R4c5a3bcb44ef47e3" w:history="1">
                    <w:r>
                      <w:rPr>
                        <w:rStyle w:val="Hyperlink"/>
                        <w:rFonts w:ascii="Georgia" w:hAnsi="Georgia" w:cs="Georgia"/>
                        <w:sz w:val="24"/>
                        <w:szCs w:val="24"/>
                      </w:rPr>
                      <w:t>Public International Law</w:t>
                    </w:r>
                  </w:hyperlink>
                </w:p>
              </w:tc>
            </w:tr>
            <w:tr>
              <w:tc>
                <w:tcPr>
                  <w:tcW w:w="3686.4" w:type="dxa"/>
                </w:tcPr>
                <w:p>
                  <w:pPr>
                    <w:spacing w:after="220"/>
                  </w:pPr>
                  <w:hyperlink r:id="R3e3c8d4f02a44000" w:history="1">
                    <w:r>
                      <w:rPr>
                        <w:rStyle w:val="Hyperlink"/>
                        <w:rFonts w:ascii="Georgia" w:hAnsi="Georgia" w:cs="Georgia"/>
                        <w:sz w:val="24"/>
                        <w:szCs w:val="24"/>
                      </w:rPr>
                      <w:t>Aviation Litigation</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LPC, BPP University Law School, Distinction, 2004</w:t>
                  </w:r>
                </w:p>
              </w:tc>
            </w:tr>
            <w:tr>
              <w:tc>
                <w:tcPr>
                  <w:tcW w:w="3686.4" w:type="dxa"/>
                </w:tcPr>
                <w:p>
                  <w:pPr>
                    <w:spacing w:after="220"/>
                  </w:pPr>
                  <w:r>
                    <w:rPr>
                      <w:lang w:val="en-US"/>
                      <w:rFonts w:ascii="Georgia" w:hAnsi="Georgia" w:cs="Georgia"/>
                      <w:u w:val="none"/>
                      <w:sz w:val="24"/>
                      <w:szCs w:val="24"/>
                      <w:color w:val="000000"/>
                    </w:rPr>
                    <w:t>Graduate Diploma in Law, BPP University Law School, Commendation, 2003</w:t>
                  </w:r>
                </w:p>
              </w:tc>
            </w:tr>
            <w:tr>
              <w:tc>
                <w:tcPr>
                  <w:tcW w:w="3686.4" w:type="dxa"/>
                </w:tcPr>
                <w:p>
                  <w:pPr>
                    <w:spacing w:after="220"/>
                  </w:pPr>
                  <w:r>
                    <w:rPr>
                      <w:lang w:val="en-US"/>
                      <w:rFonts w:ascii="Georgia" w:hAnsi="Georgia" w:cs="Georgia"/>
                      <w:u w:val="none"/>
                      <w:sz w:val="24"/>
                      <w:szCs w:val="24"/>
                      <w:color w:val="000000"/>
                    </w:rPr>
                    <w:t>B.A., History, University of Birmingham, First Class Honours, 2002</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0_Bar admissions and qualifications"/>
            </w:tblPr>
            <w:tblGrid>
              <w:gridCol w:w="3684"/>
            </w:tblGrid>
            <w:tr w:rsidR="0079721B" w:rsidTr="003A43D4">
              <w:trPr>
                <w:trHeight w:val="199"/>
              </w:trPr>
              <w:tc>
                <w:tcPr>
                  <w:tcW w:w="3684" w:type="dxa"/>
                </w:tcPr>
                <w:p w:rsidR="0079721B" w:rsidRPr="00E2312E" w:rsidRDefault="0079721B" w:rsidP="0079721B">
                  <w:pPr>
                    <w:rPr>
                      <w:color w:val="58A618"/>
                      <w:sz w:val="44"/>
                      <w:szCs w:val="44"/>
                    </w:rPr>
                  </w:pPr>
                  <w:bookmarkStart w:id="2" w:name="_GoBack"/>
                  <w:bookmarkEnd w:id="2"/>
                  <w:r>
                    <w:rPr>
                      <w:lang w:val="en-US"/>
                      <w:rFonts w:ascii="Calibri" w:hAnsi="Calibri" w:cs="Calibri"/>
                      <w:u w:val="none"/>
                      <w:sz w:val="40"/>
                      <w:szCs w:val="40"/>
                      <w:color w:val="58A618"/>
                    </w:rPr>
                    <w:t>Bar admissions and qualifications</w: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1_BaradmissionsList"/>
            </w:tblPr>
            <w:tblGrid>
              <w:gridCol w:w="3684"/>
            </w:tblGrid>
            <w:tr>
              <w:tc>
                <w:tcPr>
                  <w:tcW w:w="3686.4" w:type="dxa"/>
                </w:tcPr>
                <w:p>
                  <w:pPr>
                    <w:spacing w:after="220"/>
                  </w:pPr>
                  <w:r>
                    <w:rPr>
                      <w:lang w:val="en-US"/>
                      <w:rFonts w:ascii="Georgia" w:hAnsi="Georgia" w:cs="Georgia"/>
                      <w:u w:val="none"/>
                      <w:sz w:val="24"/>
                      <w:szCs w:val="24"/>
                      <w:color w:val="000000"/>
                    </w:rPr>
                    <w:t>Solicitor, England and Wales</w:t>
                  </w:r>
                </w:p>
              </w:tc>
            </w:tr>
          </w:tbl>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2_border8"/>
            </w:tblPr>
            <w:tblGrid>
              <w:gridCol w:w="3686"/>
            </w:tblGrid>
            <w:tr w:rsidR="00623210" w:rsidTr="00FE240B">
              <w:trPr>
                <w:trHeight w:val="158"/>
              </w:trPr>
              <w:tc>
                <w:tcPr>
                  <w:tcW w:w="3684" w:type="dxa"/>
                </w:tcPr>
                <w:p w:rsidR="00623210" w:rsidRPr="00D932FF" w:rsidRDefault="00623210" w:rsidP="00623210">
                  <w:pPr>
                    <w:rPr>
                      <w:sz w:val="16"/>
                      <w:szCs w:val="16"/>
                    </w:rPr>
                  </w:pPr>
                  <w:r w:rsidRPr="00D932FF">
                    <w:rPr>
                      <w:noProof/>
                      <w:color w:val="E7E6E6" w:themeColor="background2"/>
                      <w:sz w:val="16"/>
                      <w:szCs w:val="16"/>
                    </w:rPr>
                    <mc:AlternateContent>
                      <mc:Choice Requires="wps">
                        <w:drawing>
                          <wp:anchor distT="0" distB="0" distL="114300" distR="114300" simplePos="0" relativeHeight="251682816" behindDoc="0" locked="0" layoutInCell="1" allowOverlap="1" wp14:anchorId="3348DBEB" wp14:editId="0D29A84E">
                            <wp:simplePos x="0" y="0"/>
                            <wp:positionH relativeFrom="column">
                              <wp:posOffset>-12700</wp:posOffset>
                            </wp:positionH>
                            <wp:positionV relativeFrom="paragraph">
                              <wp:posOffset>38101</wp:posOffset>
                            </wp:positionV>
                            <wp:extent cx="22193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455E4C" id="Straight Connector 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pt" to="17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" strokecolor="#ccc" strokeweight="1.5pt">
                            <v:stroke joinstyle="miter"/>
                          </v:line>
                        </w:pict>
                      </mc:Fallback>
                    </mc:AlternateContent>
                  </w:r>
                </w:p>
              </w:tc>
            </w:tr>
          </w:tbl>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6_Accolades"/>
            </w:tblPr>
            <w:tblGrid>
              <w:gridCol w:w="3684"/>
            </w:tblGrid>
            <w:tr w:rsidR="00D74D97" w:rsidTr="003A43D4">
              <w:trPr>
                <w:trHeight w:val="287"/>
              </w:trPr>
              <w:tc>
                <w:tcPr>
                  <w:tcW w:w="3684" w:type="dxa"/>
                </w:tcPr>
                <w:p w:rsidR="00D74D97" w:rsidRDefault="00D74D97">
                  <w:r>
                    <w:rPr>
                      <w:lang w:val="en-US"/>
                      <w:rFonts w:ascii="Calibri" w:hAnsi="Calibri" w:cs="Calibri"/>
                      <w:u w:val="none"/>
                      <w:sz w:val="40"/>
                      <w:szCs w:val="40"/>
                      <w:color w:val="58A618"/>
                    </w:rPr>
                    <w:t>Accolades</w:t>
                  </w:r>
                </w:p>
              </w:tc>
            </w:tr>
          </w:tbl>
          <w:p w:rsidR="001A7332" w:rsidRPr="001A7332" w:rsidRDefault="001A7332">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7_QuotesList"/>
            </w:tblPr>
            <w:tblGrid>
              <w:gridCol w:w="3686"/>
            </w:tblGrid>
            <w:tr>
              <w:tc>
                <w:tcPr>
                  <w:tcW w:w="3686.4" w:type="dxa"/>
                </w:tcPr>
                <w:p>
                  <w:pPr>
                    <w:spacing w:after="120"/>
                  </w:pPr>
                  <w:r>
                    <w:rPr>
                      <w:lang w:val="en-US"/>
                      <w:rFonts w:ascii="Georgia" w:hAnsi="Georgia" w:cs="Georgia"/>
                      <w:u w:val="none"/>
                      <w:sz w:val="24"/>
                      <w:szCs w:val="24"/>
                      <w:color w:val="000000"/>
                    </w:rPr>
                    <w:t>"'Hogan Lovells is first-rate for oil and gas work' according to one client who also describes Ben Hornan as an 'excellent lawyer'."</w:t>
                  </w:r>
                </w:p>
                <w:p>
                  <w:pPr>
                    <w:jc w:val="right"/>
                    <w:spacing w:after="300"/>
                  </w:pPr>
                  <w:r>
                    <w:rPr>
                      <w:lang w:val="en-US"/>
                      <w:u w:val="none"/>
                      <w:i/>
                      <w:rFonts w:ascii="Georgia" w:hAnsi="Georgia" w:cs="Georgia"/>
                      <w:sz w:val="24"/>
                      <w:szCs w:val="24"/>
                    </w:rPr>
                    <w:t>Legal 500 UK 2018 (Energy / Oil &amp; Gas)</w:t>
                  </w:r>
                </w:p>
              </w:tc>
            </w:tr>
            <w:tr>
              <w:tc>
                <w:tcPr>
                  <w:tcW w:w="3686.4" w:type="dxa"/>
                </w:tcPr>
                <w:p>
                  <w:pPr>
                    <w:spacing w:after="120"/>
                  </w:pPr>
                  <w:r>
                    <w:rPr>
                      <w:lang w:val="en-US"/>
                      <w:rFonts w:ascii="Georgia" w:hAnsi="Georgia" w:cs="Georgia"/>
                      <w:u w:val="none"/>
                      <w:sz w:val="24"/>
                      <w:szCs w:val="24"/>
                      <w:color w:val="000000"/>
                    </w:rPr>
                    <w:t>"Key figures include… Ben Hornan, who 'has real arbitration experience and expertise'."</w:t>
                  </w:r>
                </w:p>
                <w:p>
                  <w:pPr>
                    <w:jc w:val="right"/>
                    <w:spacing w:after="300"/>
                  </w:pPr>
                  <w:r>
                    <w:rPr>
                      <w:lang w:val="en-US"/>
                      <w:u w:val="none"/>
                      <w:i/>
                      <w:rFonts w:ascii="Georgia" w:hAnsi="Georgia" w:cs="Georgia"/>
                      <w:sz w:val="24"/>
                      <w:szCs w:val="24"/>
                    </w:rPr>
                    <w:t>Legal 500 UK 2018 (International Arbitration)</w:t>
                  </w:r>
                </w:p>
              </w:tc>
            </w:tr>
          </w:tbl>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8_border10"/>
            </w:tblPr>
            <w:tblGrid>
              <w:gridCol w:w="3686"/>
            </w:tblGrid>
            <w:tr w:rsidR="00181440" w:rsidTr="00FE240B">
              <w:trPr>
                <w:trHeight w:val="158"/>
              </w:trPr>
              <w:tc>
                <w:tcPr>
                  <w:tcW w:w="3686" w:type="dxa"/>
                </w:tcPr>
                <w:p w:rsidR="00181440" w:rsidRPr="00D932FF" w:rsidRDefault="00181440">
                  <w:pPr>
                    <w:rPr>
                      <w:sz w:val="16"/>
                      <w:szCs w:val="16"/>
                    </w:rPr>
                  </w:pPr>
                  <w:r w:rsidRPr="00D932FF">
                    <w:rPr>
                      <w:noProof/>
                      <w:color w:val="E7E6E6" w:themeColor="background2"/>
                      <w:sz w:val="16"/>
                      <w:szCs w:val="16"/>
                    </w:rPr>
                    <mc:AlternateContent>
                      <mc:Choice Requires="wps">
                        <w:drawing>
                          <wp:anchor distT="0" distB="0" distL="114300" distR="114300" simplePos="0" relativeHeight="251697152" behindDoc="0" locked="0" layoutInCell="1" allowOverlap="1" wp14:anchorId="06B872CB" wp14:editId="6D189D00">
                            <wp:simplePos x="0" y="0"/>
                            <wp:positionH relativeFrom="column">
                              <wp:posOffset>-12700</wp:posOffset>
                            </wp:positionH>
                            <wp:positionV relativeFrom="paragraph">
                              <wp:posOffset>29211</wp:posOffset>
                            </wp:positionV>
                            <wp:extent cx="2247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479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2BAF56"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2.3pt" to="176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" strokecolor="#ccc" strokeweight="1.5pt">
                            <v:stroke joinstyle="miter"/>
                          </v:line>
                        </w:pict>
                      </mc:Fallback>
                    </mc:AlternateContent>
                  </w:r>
                </w:p>
              </w:tc>
            </w:tr>
          </w:tbl>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4a1bf986-21e0-4f75-8feb-f79593db461a.jpeg" Id="Rec3da47fa41f498c" /><Relationship Type="http://schemas.openxmlformats.org/officeDocument/2006/relationships/hyperlink" Target="mailto:ben.hornan@hoganlovells.com" TargetMode="External" Id="R803d4a8ba8164120" /><Relationship Type="http://schemas.openxmlformats.org/officeDocument/2006/relationships/hyperlink" Target="https://mc-7c5ead77-4153-4f21-9a29-b0c7-cm.azurewebsites.net//en/service/commercial-litigation" TargetMode="External" Id="Rf9236b3866b444b2" /><Relationship Type="http://schemas.openxmlformats.org/officeDocument/2006/relationships/hyperlink" Target="https://mc-7c5ead77-4153-4f21-9a29-b0c7-cm.azurewebsites.net//en/service/corporate-and-securities-litigation" TargetMode="External" Id="R40bae5eeaa7a4866" /><Relationship Type="http://schemas.openxmlformats.org/officeDocument/2006/relationships/hyperlink" Target="https://mc-7c5ead77-4153-4f21-9a29-b0c7-cm.azurewebsites.net//en/service/energy-disputes" TargetMode="External" Id="R10add8c457da461d" /><Relationship Type="http://schemas.openxmlformats.org/officeDocument/2006/relationships/hyperlink" Target="https://mc-7c5ead77-4153-4f21-9a29-b0c7-cm.azurewebsites.net//en/service/international-arbitration" TargetMode="External" Id="R9867cf50a05b481f" /><Relationship Type="http://schemas.openxmlformats.org/officeDocument/2006/relationships/hyperlink" Target="https://mc-7c5ead77-4153-4f21-9a29-b0c7-cm.azurewebsites.net//en/service/litigation-and-arbitration" TargetMode="External" Id="R008eef599fc74788" /><Relationship Type="http://schemas.openxmlformats.org/officeDocument/2006/relationships/hyperlink" Target="https://mc-7c5ead77-4153-4f21-9a29-b0c7-cm.azurewebsites.net//en/service/ip-litigation-arbitration-and-alternative-dispute-resolution" TargetMode="External" Id="R6f9d809f049b4889" /><Relationship Type="http://schemas.openxmlformats.org/officeDocument/2006/relationships/hyperlink" Target="https://mc-7c5ead77-4153-4f21-9a29-b0c7-cm.azurewebsites.net//en/service/africa-regional-practice" TargetMode="External" Id="R95e92712d9264970" /><Relationship Type="http://schemas.openxmlformats.org/officeDocument/2006/relationships/hyperlink" Target="https://mc-7c5ead77-4153-4f21-9a29-b0c7-cm.azurewebsites.net//en/sector/aerospace-and-defense" TargetMode="External" Id="R798b25d8de564867" /><Relationship Type="http://schemas.openxmlformats.org/officeDocument/2006/relationships/hyperlink" Target="https://mc-7c5ead77-4153-4f21-9a29-b0c7-cm.azurewebsites.net//en/sector/manufacturing-and-industrials" TargetMode="External" Id="Rd9883e2873b54083" /><Relationship Type="http://schemas.openxmlformats.org/officeDocument/2006/relationships/hyperlink" Target="https://mc-7c5ead77-4153-4f21-9a29-b0c7-cm.azurewebsites.net//en/sector/energy" TargetMode="External" Id="R6ade3a13615b45f1" /><Relationship Type="http://schemas.openxmlformats.org/officeDocument/2006/relationships/hyperlink" Target="https://mc-7c5ead77-4153-4f21-9a29-b0c7-cm.azurewebsites.net//en/sector/life-sciences-and-healthcare" TargetMode="External" Id="Rbb64fea467cd4f88" /><Relationship Type="http://schemas.openxmlformats.org/officeDocument/2006/relationships/hyperlink" Target="https://mc-7c5ead77-4153-4f21-9a29-b0c7-cm.azurewebsites.net//en/sector/real-estate" TargetMode="External" Id="Rc16a4343885b4da0" /><Relationship Type="http://schemas.openxmlformats.org/officeDocument/2006/relationships/hyperlink" Target="https://mc-7c5ead77-4153-4f21-9a29-b0c7-cm.azurewebsites.net//en/sector/technology" TargetMode="External" Id="Rf5fbcadecf5d4fb6" /><Relationship Type="http://schemas.openxmlformats.org/officeDocument/2006/relationships/hyperlink" Target="https://mc-7c5ead77-4153-4f21-9a29-b0c7-cm.azurewebsites.net/https://www.hoganlovells.com/en/capabilities/practice-category-group/litigation-arbitration-and-employment" TargetMode="External" Id="Ra3b30c6fc81c4d4b" /><Relationship Type="http://schemas.openxmlformats.org/officeDocument/2006/relationships/hyperlink" Target="https://mc-7c5ead77-4153-4f21-9a29-b0c7-cm.azurewebsites.net//en/aof/commercial-litigation---english-version-no-longer-live" TargetMode="External" Id="Rdd86663b1bf643c9" /><Relationship Type="http://schemas.openxmlformats.org/officeDocument/2006/relationships/hyperlink" Target="https://mc-7c5ead77-4153-4f21-9a29-b0c7-cm.azurewebsites.net//en/aof/mining-and-resources-mining" TargetMode="External" Id="Rf61a77962b6f4611" /><Relationship Type="http://schemas.openxmlformats.org/officeDocument/2006/relationships/hyperlink" Target="https://mc-7c5ead77-4153-4f21-9a29-b0c7-cm.azurewebsites.net//en/aof/oil-and-gas-exploration-and-production" TargetMode="External" Id="R829b719fb4294298" /><Relationship Type="http://schemas.openxmlformats.org/officeDocument/2006/relationships/hyperlink" Target="https://mc-7c5ead77-4153-4f21-9a29-b0c7-cm.azurewebsites.net//en/aof/oil-and-gas-liquefied-natural-gas-lng" TargetMode="External" Id="R28eb207c396341e3" /><Relationship Type="http://schemas.openxmlformats.org/officeDocument/2006/relationships/hyperlink" Target="https://mc-7c5ead77-4153-4f21-9a29-b0c7-cm.azurewebsites.net/https://www.hoganlovells.com/en/sector/energy" TargetMode="External" Id="R9e345bbad1f141cb" /><Relationship Type="http://schemas.openxmlformats.org/officeDocument/2006/relationships/hyperlink" Target="https://mc-7c5ead77-4153-4f21-9a29-b0c7-cm.azurewebsites.net//en/aof/oil-and-gas-supply-marketing-and-trading" TargetMode="External" Id="R799bab3b6ac647db" /><Relationship Type="http://schemas.openxmlformats.org/officeDocument/2006/relationships/hyperlink" Target="https://mc-7c5ead77-4153-4f21-9a29-b0c7-cm.azurewebsites.net//en/aof/pharmaceutical-and-biotechnology" TargetMode="External" Id="R5870d67e3d1948bc" /><Relationship Type="http://schemas.openxmlformats.org/officeDocument/2006/relationships/hyperlink" Target="https://mc-7c5ead77-4153-4f21-9a29-b0c7-cm.azurewebsites.net//en/aof/public-international-law" TargetMode="External" Id="R4c5a3bcb44ef47e3" /><Relationship Type="http://schemas.openxmlformats.org/officeDocument/2006/relationships/hyperlink" Target="https://mc-7c5ead77-4153-4f21-9a29-b0c7-cm.azurewebsites.net//en/aof/aviation-litigation" TargetMode="External" Id="R3e3c8d4f02a44000"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