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Dr. Jochen Seitz</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Partner</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Frankfurt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Jochen is recognized as a leading financial services and capital markets lawyer in Germany and is a member of the firm´s global capital markets leadership team.</w:t>
                  </w:r>
                  <w:r>
                    <w:br/>
                  </w:r>
                </w:p>
                <w:p>
                  <w:pPr>
                    <w:spacing w:line="276"/>
                  </w:pPr>
                  <w:r>
                    <w:rPr>
                      <w:rFonts w:ascii="Georgia" w:hAnsi="Georgia" w:cs="Georgia"/>
                      <w:sz w:val="24"/>
                      <w:szCs w:val="24"/>
                    </w:rPr>
                    <w:t>Clients value Jochen’s transactional skills and his solution-oriented approach. Having been a partner for more than 15 years, Jochen advises investment banks, financial services providers, issuers and underwriters in relation to debt capital markets transactions and related regulatory questions. </w:t>
                  </w:r>
                  <w:r>
                    <w:br/>
                  </w:r>
                </w:p>
                <w:p>
                  <w:pPr>
                    <w:spacing w:line="276"/>
                  </w:pPr>
                  <w:r>
                    <w:rPr>
                      <w:rFonts w:ascii="Georgia" w:hAnsi="Georgia" w:cs="Georgia"/>
                      <w:sz w:val="24"/>
                      <w:szCs w:val="24"/>
                    </w:rPr>
                    <w:t>Jochen has a track record for investment grade bonds, covered bonds (German Pfandbriefe), bank regulatory capital (including AT1 and Tier 2 instruments), debt issuance programmes and all kinds of derivatives and structured products. He frequently advises on public offers of debt instruments under the EU Prospectus Regulation.</w:t>
                  </w:r>
                  <w:r>
                    <w:br/>
                  </w:r>
                </w:p>
                <w:p>
                  <w:pPr>
                    <w:spacing w:line="276"/>
                  </w:pPr>
                  <w:r>
                    <w:rPr>
                      <w:rFonts w:ascii="Georgia" w:hAnsi="Georgia" w:cs="Georgia"/>
                      <w:sz w:val="24"/>
                      <w:szCs w:val="24"/>
                    </w:rPr>
                    <w:t>Jochen has specialized experience in EU banking and financial services matters, particularly as regards the single supervisory mechanism (SSM) and the single resolution mechanism (SRM), the markets in financial instruments directive and regulation (MiFID/MiFIR), benchmark regulation (BMR) and the new EU sustainable finance framework (particularly SFDR and EU Taxonomy).  </w:t>
                  </w:r>
                  <w:r>
                    <w:br/>
                  </w:r>
                </w:p>
                <w:p>
                  <w:pPr>
                    <w:spacing w:line="276"/>
                  </w:pPr>
                  <w:r>
                    <w:rPr>
                      <w:rFonts w:ascii="Georgia" w:hAnsi="Georgia" w:cs="Georgia"/>
                      <w:sz w:val="24"/>
                      <w:szCs w:val="24"/>
                    </w:rPr>
                    <w:t>He frequently deals with EU regulators such as the German Federal Financial Services Authority (BaFin), the European Central Bank, the European Securities and Markets Authority (ESMA) and the Commission de Surveillance Du Secteur Financier (CSSF) and independant expert for the Structured Securities Association (BSW, Bundesverbands für strukturierte Wertpapiere).</w:t>
                  </w:r>
                  <w:r>
                    <w:br/>
                  </w:r>
                </w:p>
                <w:p>
                  <w:pPr>
                    <w:spacing w:line="276"/>
                  </w:pPr>
                  <w:r>
                    <w:rPr>
                      <w:rFonts w:ascii="Georgia" w:hAnsi="Georgia" w:cs="Georgia"/>
                      <w:sz w:val="24"/>
                      <w:szCs w:val="24"/>
                    </w:rPr>
                    <w:t>Jochen writes and presents regularly on financial services and capital markets matters. He is lecturer at the University of Munich on regulatory law and author in one of the leading legal commentaries on the German Securities Prospectus Act.</w:t>
                  </w:r>
                  <w:r>
                    <w:br/>
                  </w:r>
                </w:p>
                <w:p>
                  <w:pPr>
                    <w:spacing w:line="276"/>
                  </w:pPr>
                  <w:r>
                    <w:rPr>
                      <w:rFonts w:ascii="Georgia" w:hAnsi="Georgia" w:cs="Georgia"/>
                      <w:sz w:val="24"/>
                      <w:szCs w:val="24"/>
                    </w:rPr>
                    <w:t> </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Representative experience</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en-US"/>
                      <w:rFonts w:ascii="Georgia" w:hAnsi="Georgia" w:cs="Georgia"/>
                      <w:u w:val="none"/>
                      <w:sz w:val="24"/>
                      <w:szCs w:val="24"/>
                      <w:color w:val="000000"/>
                    </w:rPr>
                    <w:t>Advising various issuers and arrangers on the establishment &amp; annual updates of EMTN programs including Volkswagen Financial Services and Volkswagen Bank, Deutsche Pfandbriefbank, NordLB &amp; BayernLB</w:t>
                  </w:r>
                  <w:r>
                    <w:rPr>
                      <w:lang w:val="en-US"/>
                      <w:u w:val="none"/>
                    </w:rPr>
                    <w:br/>
                  </w:r>
                  <w:r>
                    <w:rPr>
                      <w:lang w:val="en-US"/>
                      <w:u w:val="none"/>
                    </w:rPr>
                    <w:br/>
                  </w:r>
                  <w:r>
                    <w:rPr>
                      <w:lang w:val="en-US"/>
                      <w:rFonts w:ascii="Georgia" w:hAnsi="Georgia" w:cs="Georgia"/>
                      <w:u w:val="none"/>
                      <w:sz w:val="24"/>
                      <w:szCs w:val="24"/>
                      <w:color w:val="000000"/>
                    </w:rPr>
                    <w:t>Advising leading issuers of certificates and warrants on the annual update of their programs as well as ongoing issuances.</w:t>
                  </w:r>
                  <w:r>
                    <w:rPr>
                      <w:lang w:val="en-US"/>
                      <w:u w:val="none"/>
                    </w:rPr>
                    <w:br/>
                  </w:r>
                  <w:r>
                    <w:rPr>
                      <w:lang w:val="en-US"/>
                      <w:u w:val="none"/>
                    </w:rPr>
                    <w:br/>
                  </w:r>
                  <w:r>
                    <w:rPr>
                      <w:lang w:val="en-US"/>
                      <w:rFonts w:ascii="Georgia" w:hAnsi="Georgia" w:cs="Georgia"/>
                      <w:u w:val="none"/>
                      <w:sz w:val="24"/>
                      <w:szCs w:val="24"/>
                      <w:color w:val="000000"/>
                    </w:rPr>
                    <w:t>Advising NRW.BANK, NORD/LB and Deutsche Hypothekenbank in connection with annual contributions to the Single Resolution Fund and related claims pending at European courts.</w:t>
                  </w:r>
                  <w:r>
                    <w:rPr>
                      <w:lang w:val="en-US"/>
                      <w:u w:val="none"/>
                    </w:rPr>
                    <w:br/>
                  </w:r>
                  <w:r>
                    <w:rPr>
                      <w:lang w:val="en-US"/>
                      <w:u w:val="none"/>
                    </w:rPr>
                    <w:br/>
                  </w:r>
                  <w:r>
                    <w:rPr>
                      <w:lang w:val="en-US"/>
                      <w:rFonts w:ascii="Georgia" w:hAnsi="Georgia" w:cs="Georgia"/>
                      <w:u w:val="none"/>
                      <w:sz w:val="24"/>
                      <w:szCs w:val="24"/>
                      <w:color w:val="000000"/>
                    </w:rPr>
                    <w:t>Advising various banks in relation to new regulatory requirements under MiFID II/MiFIR, including MiFID Quick Fix and inducement requirements.</w:t>
                  </w:r>
                  <w:r>
                    <w:rPr>
                      <w:lang w:val="en-US"/>
                      <w:u w:val="none"/>
                    </w:rPr>
                    <w:br/>
                  </w:r>
                  <w:r>
                    <w:rPr>
                      <w:lang w:val="en-US"/>
                      <w:u w:val="none"/>
                    </w:rPr>
                    <w:br/>
                  </w:r>
                  <w:r>
                    <w:rPr>
                      <w:lang w:val="en-US"/>
                      <w:rFonts w:ascii="Georgia" w:hAnsi="Georgia" w:cs="Georgia"/>
                      <w:u w:val="none"/>
                      <w:sz w:val="24"/>
                      <w:szCs w:val="24"/>
                      <w:color w:val="000000"/>
                    </w:rPr>
                    <w:t>Advising various issuers of debt instruments in connection with cryptocurrencies as underlying of structured notes.</w:t>
                  </w:r>
                  <w:r>
                    <w:rPr>
                      <w:lang w:val="en-US"/>
                      <w:u w:val="none"/>
                    </w:rPr>
                    <w:br/>
                  </w:r>
                  <w:r>
                    <w:rPr>
                      <w:lang w:val="en-US"/>
                      <w:u w:val="none"/>
                    </w:rPr>
                    <w:br/>
                  </w:r>
                  <w:r>
                    <w:rPr>
                      <w:lang w:val="en-US"/>
                      <w:rFonts w:ascii="Georgia" w:hAnsi="Georgia" w:cs="Georgia"/>
                      <w:u w:val="none"/>
                      <w:sz w:val="24"/>
                      <w:szCs w:val="24"/>
                      <w:color w:val="000000"/>
                    </w:rPr>
                    <w:t>Advising an infrastructure provider on the establishment of a cryptocurrency trading platform.</w:t>
                  </w:r>
                  <w:r>
                    <w:rPr>
                      <w:lang w:val="en-US"/>
                      <w:u w:val="none"/>
                    </w:rPr>
                    <w:br/>
                  </w:r>
                  <w:r>
                    <w:rPr>
                      <w:lang w:val="en-US"/>
                      <w:u w:val="none"/>
                    </w:rPr>
                    <w:br/>
                  </w:r>
                  <w:r>
                    <w:rPr>
                      <w:lang w:val="en-US"/>
                      <w:rFonts w:ascii="Georgia" w:hAnsi="Georgia" w:cs="Georgia"/>
                      <w:u w:val="none"/>
                      <w:sz w:val="24"/>
                      <w:szCs w:val="24"/>
                      <w:color w:val="000000"/>
                    </w:rPr>
                    <w:t>Advising issuers of debt instruments in connection with liability management transactions.</w:t>
                  </w:r>
                  <w:r>
                    <w:rPr>
                      <w:lang w:val="en-US"/>
                      <w:u w:val="none"/>
                    </w:rPr>
                    <w:br/>
                  </w:r>
                  <w:r>
                    <w:rPr>
                      <w:lang w:val="en-US"/>
                      <w:u w:val="none"/>
                    </w:rPr>
                    <w:br/>
                  </w:r>
                  <w:r>
                    <w:rPr>
                      <w:lang w:val="en-US"/>
                      <w:rFonts w:ascii="Georgia" w:hAnsi="Georgia" w:cs="Georgia"/>
                      <w:u w:val="none"/>
                      <w:sz w:val="24"/>
                      <w:szCs w:val="24"/>
                      <w:color w:val="000000"/>
                    </w:rPr>
                    <w:t>Advising various issuers of covered bonds in connection with the EU Covered Bond Directive and changes to the German Pfandbrief Act.</w:t>
                  </w:r>
                  <w:r>
                    <w:rPr>
                      <w:lang w:val="en-US"/>
                      <w:u w:val="none"/>
                    </w:rPr>
                    <w:br/>
                  </w:r>
                  <w:r>
                    <w:rPr>
                      <w:lang w:val="en-US"/>
                      <w:u w:val="none"/>
                    </w:rPr>
                    <w:br/>
                  </w:r>
                  <w:r>
                    <w:rPr>
                      <w:lang w:val="en-US"/>
                      <w:rFonts w:ascii="Georgia" w:hAnsi="Georgia" w:cs="Georgia"/>
                      <w:u w:val="none"/>
                      <w:sz w:val="24"/>
                      <w:szCs w:val="24"/>
                      <w:color w:val="000000"/>
                    </w:rPr>
                    <w:t>Advising a leading investment bank in connection with cooperation agreements with a Fintech company.</w:t>
                  </w:r>
                  <w:r>
                    <w:rPr>
                      <w:lang w:val="en-US"/>
                      <w:u w:val="none"/>
                    </w:rPr>
                    <w:br/>
                  </w:r>
                  <w:r>
                    <w:rPr>
                      <w:lang w:val="en-US"/>
                      <w:u w:val="none"/>
                    </w:rPr>
                    <w:br/>
                  </w:r>
                  <w:r>
                    <w:rPr>
                      <w:lang w:val="en-US"/>
                      <w:rFonts w:ascii="Georgia" w:hAnsi="Georgia" w:cs="Georgia"/>
                      <w:u w:val="none"/>
                      <w:sz w:val="24"/>
                      <w:szCs w:val="24"/>
                      <w:color w:val="000000"/>
                    </w:rPr>
                    <w:t>Advising an issuer of structured products in connection with the establishment of a new online platform for the offer of structured products.</w:t>
                  </w:r>
                  <w:r>
                    <w:rPr>
                      <w:lang w:val="en-US"/>
                      <w:u w:val="none"/>
                    </w:rPr>
                    <w:br/>
                  </w:r>
                  <w:r>
                    <w:rPr>
                      <w:lang w:val="en-US"/>
                      <w:u w:val="none"/>
                    </w:rPr>
                    <w:br/>
                  </w:r>
                  <w:r>
                    <w:rPr>
                      <w:lang w:val="en-US"/>
                      <w:rFonts w:ascii="Georgia" w:hAnsi="Georgia" w:cs="Georgia"/>
                      <w:u w:val="none"/>
                      <w:sz w:val="24"/>
                      <w:szCs w:val="24"/>
                      <w:color w:val="000000"/>
                    </w:rPr>
                    <w:t>Advising a leading power company in connection with commodities trading activities and the new EU framework for investment firms (IFD/IFR).</w:t>
                  </w:r>
                  <w:r>
                    <w:rPr>
                      <w:lang w:val="en-US"/>
                      <w:u w:val="none"/>
                    </w:rPr>
                    <w:br/>
                  </w:r>
                  <w:r>
                    <w:rPr>
                      <w:lang w:val="en-US"/>
                      <w:u w:val="none"/>
                    </w:rPr>
                    <w:br/>
                  </w:r>
                  <w:r>
                    <w:rPr>
                      <w:lang w:val="en-US"/>
                      <w:rFonts w:ascii="Georgia" w:hAnsi="Georgia" w:cs="Georgia"/>
                      <w:u w:val="none"/>
                      <w:sz w:val="24"/>
                      <w:szCs w:val="24"/>
                      <w:color w:val="000000"/>
                    </w:rPr>
                    <w:t>Advising a leading investment bank on cross-border offers of structured products, including France, Italy, the Netherlands, Poland and Belgium.</w:t>
                  </w:r>
                  <w:r>
                    <w:rPr>
                      <w:lang w:val="en-US"/>
                      <w:u w:val="none"/>
                    </w:rPr>
                    <w:br/>
                  </w:r>
                  <w:r>
                    <w:rPr>
                      <w:lang w:val="en-US"/>
                      <w:u w:val="none"/>
                    </w:rPr>
                    <w:br/>
                  </w:r>
                  <w:r>
                    <w:rPr>
                      <w:lang w:val="en-US"/>
                      <w:rFonts w:ascii="Georgia" w:hAnsi="Georgia" w:cs="Georgia"/>
                      <w:u w:val="none"/>
                      <w:sz w:val="24"/>
                      <w:szCs w:val="24"/>
                      <w:color w:val="000000"/>
                    </w:rPr>
                    <w:t>Advising a leading asset manager in connection with the new EU framework for SFDR and Taxonomy.</w:t>
                  </w:r>
                  <w:r>
                    <w:rPr>
                      <w:lang w:val="en-US"/>
                      <w:u w:val="none"/>
                    </w:rPr>
                    <w:br/>
                  </w:r>
                  <w:r>
                    <w:rPr>
                      <w:lang w:val="en-US"/>
                      <w:u w:val="none"/>
                    </w:rPr>
                    <w:br/>
                  </w:r>
                  <w:r>
                    <w:rPr>
                      <w:lang w:val="en-US"/>
                      <w:rFonts w:ascii="Georgia" w:hAnsi="Georgia" w:cs="Georgia"/>
                      <w:u w:val="none"/>
                      <w:sz w:val="24"/>
                      <w:szCs w:val="24"/>
                      <w:color w:val="000000"/>
                    </w:rPr>
                    <w:t>Advising the issuer and arranger of certificates of indebtedness (Schuldscheine), including for French, Dutch and Italian borrowers.</w:t>
                  </w:r>
                  <w:r>
                    <w:rPr>
                      <w:lang w:val="en-US"/>
                      <w:u w:val="none"/>
                    </w:rPr>
                    <w:br/>
                  </w:r>
                  <w:r>
                    <w:rPr>
                      <w:lang w:val="en-US"/>
                      <w:u w:val="none"/>
                    </w:rPr>
                    <w:br/>
                  </w:r>
                  <w:r>
                    <w:rPr>
                      <w:lang w:val="en-US"/>
                      <w:rFonts w:ascii="Georgia" w:hAnsi="Georgia" w:cs="Georgia"/>
                      <w:u w:val="none"/>
                      <w:sz w:val="24"/>
                      <w:szCs w:val="24"/>
                      <w:color w:val="000000"/>
                    </w:rPr>
                    <w:t>Representation of issuers of structured products in connection with contentious proceedings.</w:t>
                  </w:r>
                  <w:r>
                    <w:rPr>
                      <w:lang w:val="en-US"/>
                      <w:u w:val="none"/>
                    </w:rPr>
                    <w:br/>
                  </w:r>
                  <w:r>
                    <w:rPr>
                      <w:lang w:val="en-US"/>
                      <w:u w:val="none"/>
                    </w:rPr>
                    <w:br/>
                  </w:r>
                  <w:r>
                    <w:rPr>
                      <w:lang w:val="en-US"/>
                      <w:rFonts w:ascii="Georgia" w:hAnsi="Georgia" w:cs="Georgia"/>
                      <w:u w:val="none"/>
                      <w:sz w:val="24"/>
                      <w:szCs w:val="24"/>
                      <w:color w:val="000000"/>
                    </w:rPr>
                    <w:t>Representation of financial market participants in connection with BaFin investigations. </w:t>
                  </w:r>
                </w:p>
              </w:tc>
            </w:tr>
          </w:tbl>
          <w:p w:rsidR="004A1494"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9_Awards and ranking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Awards and rankings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0_AwardsandrankingsList"/>
            </w:tblPr>
            <w:tblGrid>
              <w:gridCol w:w="5841"/>
            </w:tblGrid>
            <w:tr>
              <w:tc>
                <w:tcPr>
                  <w:tcW w:w="5846.4" w:type="dxa"/>
                </w:tcPr>
                <w:p>
                  <w:pPr/>
                </w:p>
                <w:p>
                  <w:pPr>
                    <w:numPr>
                      <w:ilvl w:val="0"/>
                      <w:numId w:val="4"/>
                    </w:numPr>
                    <w:spacing w:after="0"/>
                  </w:pPr>
                  <w:r>
                    <w:rPr>
                      <w:rFonts w:ascii="Georgia" w:hAnsi="Georgia" w:cs="Georgia"/>
                      <w:sz w:val="24"/>
                      <w:szCs w:val="24"/>
                    </w:rPr>
                    <w:t xml:space="preserve">Leading name in banking and regulatory, </w:t>
                  </w:r>
                  <w:r>
                    <w:rPr>
                      <w:lang w:val="en-US"/>
                      <w:rFonts w:ascii="Georgia" w:hAnsi="Georgia" w:cs="Georgia"/>
                      <w:i/>
                      <w:u w:val="none"/>
                      <w:sz w:val="24"/>
                      <w:szCs w:val="24"/>
                      <w:color w:val="000000"/>
                    </w:rPr>
                    <w:t>JUVE handbook</w:t>
                  </w:r>
                  <w:r>
                    <w:rPr>
                      <w:rFonts w:ascii="Georgia" w:hAnsi="Georgia" w:cs="Georgia"/>
                      <w:sz w:val="24"/>
                      <w:szCs w:val="24"/>
                    </w:rPr>
                    <w:t>, 2016-2021</w:t>
                  </w:r>
                </w:p>
              </w:tc>
            </w:tr>
            <w:tr>
              <w:tc>
                <w:tcPr>
                  <w:tcW w:w="5846.4" w:type="dxa"/>
                </w:tcPr>
                <w:p>
                  <w:pPr/>
                </w:p>
                <w:p>
                  <w:pPr>
                    <w:numPr>
                      <w:ilvl w:val="0"/>
                      <w:numId w:val="5"/>
                    </w:numPr>
                    <w:spacing w:after="0"/>
                  </w:pPr>
                  <w:r>
                    <w:rPr>
                      <w:rFonts w:ascii="Georgia" w:hAnsi="Georgia" w:cs="Georgia"/>
                      <w:sz w:val="24"/>
                      <w:szCs w:val="24"/>
                    </w:rPr>
                    <w:t xml:space="preserve">Frequently recommended lawyer for debt capital markets and structured finance, </w:t>
                  </w:r>
                  <w:r>
                    <w:rPr>
                      <w:lang w:val="en-US"/>
                      <w:rFonts w:ascii="Georgia" w:hAnsi="Georgia" w:cs="Georgia"/>
                      <w:i/>
                      <w:u w:val="none"/>
                      <w:sz w:val="24"/>
                      <w:szCs w:val="24"/>
                      <w:color w:val="000000"/>
                    </w:rPr>
                    <w:t>JUVE handbook</w:t>
                  </w:r>
                  <w:r>
                    <w:rPr>
                      <w:rFonts w:ascii="Georgia" w:hAnsi="Georgia" w:cs="Georgia"/>
                      <w:sz w:val="24"/>
                      <w:szCs w:val="24"/>
                    </w:rPr>
                    <w:t>, 2016-2021</w:t>
                  </w:r>
                </w:p>
              </w:tc>
            </w:tr>
            <w:tr>
              <w:tc>
                <w:tcPr>
                  <w:tcW w:w="5846.4" w:type="dxa"/>
                </w:tcPr>
                <w:p>
                  <w:pPr/>
                </w:p>
                <w:p>
                  <w:pPr>
                    <w:numPr>
                      <w:ilvl w:val="0"/>
                      <w:numId w:val="6"/>
                    </w:numPr>
                    <w:spacing w:after="0"/>
                  </w:pPr>
                  <w:r>
                    <w:rPr>
                      <w:rFonts w:ascii="Georgia" w:hAnsi="Georgia" w:cs="Georgia"/>
                      <w:sz w:val="24"/>
                      <w:szCs w:val="24"/>
                    </w:rPr>
                    <w:t xml:space="preserve">Capital markets: debt capital markets, </w:t>
                  </w:r>
                  <w:r>
                    <w:rPr>
                      <w:lang w:val="en-US"/>
                      <w:rFonts w:ascii="Georgia" w:hAnsi="Georgia" w:cs="Georgia"/>
                      <w:i/>
                      <w:u w:val="none"/>
                      <w:sz w:val="24"/>
                      <w:szCs w:val="24"/>
                      <w:color w:val="000000"/>
                    </w:rPr>
                    <w:t>Legal 500 EMEA (Germany)</w:t>
                  </w:r>
                  <w:r>
                    <w:rPr>
                      <w:rFonts w:ascii="Georgia" w:hAnsi="Georgia" w:cs="Georgia"/>
                      <w:sz w:val="24"/>
                      <w:szCs w:val="24"/>
                    </w:rPr>
                    <w:t>, 2017-2021</w:t>
                  </w:r>
                </w:p>
              </w:tc>
            </w:tr>
            <w:tr>
              <w:tc>
                <w:tcPr>
                  <w:tcW w:w="5846.4" w:type="dxa"/>
                </w:tcPr>
                <w:p>
                  <w:pPr/>
                </w:p>
                <w:p>
                  <w:pPr>
                    <w:numPr>
                      <w:ilvl w:val="0"/>
                      <w:numId w:val="7"/>
                    </w:numPr>
                    <w:spacing w:after="0"/>
                  </w:pPr>
                  <w:r>
                    <w:rPr>
                      <w:rFonts w:ascii="Georgia" w:hAnsi="Georgia" w:cs="Georgia"/>
                      <w:sz w:val="24"/>
                      <w:szCs w:val="24"/>
                    </w:rPr>
                    <w:t xml:space="preserve">Banking and finance: financial services: regulatory, </w:t>
                  </w:r>
                  <w:r>
                    <w:rPr>
                      <w:lang w:val="en-US"/>
                      <w:rFonts w:ascii="Georgia" w:hAnsi="Georgia" w:cs="Georgia"/>
                      <w:i/>
                      <w:u w:val="none"/>
                      <w:sz w:val="24"/>
                      <w:szCs w:val="24"/>
                      <w:color w:val="000000"/>
                    </w:rPr>
                    <w:t>Legal 500 EMEA (Germany)</w:t>
                  </w:r>
                  <w:r>
                    <w:rPr>
                      <w:rFonts w:ascii="Georgia" w:hAnsi="Georgia" w:cs="Georgia"/>
                      <w:sz w:val="24"/>
                      <w:szCs w:val="24"/>
                    </w:rPr>
                    <w:t>, 2019-2021</w:t>
                  </w:r>
                </w:p>
              </w:tc>
            </w:tr>
            <w:tr>
              <w:tc>
                <w:tcPr>
                  <w:tcW w:w="5846.4" w:type="dxa"/>
                </w:tcPr>
                <w:p>
                  <w:pPr/>
                </w:p>
                <w:p>
                  <w:pPr>
                    <w:numPr>
                      <w:ilvl w:val="0"/>
                      <w:numId w:val="8"/>
                    </w:numPr>
                    <w:spacing w:after="0"/>
                  </w:pPr>
                  <w:r>
                    <w:rPr>
                      <w:rFonts w:ascii="Georgia" w:hAnsi="Georgia" w:cs="Georgia"/>
                      <w:sz w:val="24"/>
                      <w:szCs w:val="24"/>
                    </w:rPr>
                    <w:t xml:space="preserve">Frequently mentioned lawyer for capital markets, </w:t>
                  </w:r>
                  <w:r>
                    <w:rPr>
                      <w:lang w:val="en-US"/>
                      <w:rFonts w:ascii="Georgia" w:hAnsi="Georgia" w:cs="Georgia"/>
                      <w:i/>
                      <w:u w:val="none"/>
                      <w:sz w:val="24"/>
                      <w:szCs w:val="24"/>
                      <w:color w:val="000000"/>
                    </w:rPr>
                    <w:t>kanzleimonitor.de</w:t>
                  </w:r>
                  <w:r>
                    <w:rPr>
                      <w:rFonts w:ascii="Georgia" w:hAnsi="Georgia" w:cs="Georgia"/>
                      <w:sz w:val="24"/>
                      <w:szCs w:val="24"/>
                    </w:rPr>
                    <w:t>, 2018-2021</w:t>
                  </w:r>
                </w:p>
              </w:tc>
            </w:tr>
            <w:tr>
              <w:tc>
                <w:tcPr>
                  <w:tcW w:w="5846.4" w:type="dxa"/>
                </w:tcPr>
                <w:p>
                  <w:pPr/>
                </w:p>
                <w:p>
                  <w:pPr>
                    <w:numPr>
                      <w:ilvl w:val="0"/>
                      <w:numId w:val="9"/>
                    </w:numPr>
                    <w:spacing w:after="0"/>
                  </w:pPr>
                  <w:r>
                    <w:rPr>
                      <w:rFonts w:ascii="Georgia" w:hAnsi="Georgia" w:cs="Georgia"/>
                      <w:sz w:val="24"/>
                      <w:szCs w:val="24"/>
                    </w:rPr>
                    <w:t xml:space="preserve">Capital markets: derivatives (Germany), </w:t>
                  </w:r>
                  <w:r>
                    <w:rPr>
                      <w:lang w:val="en-US"/>
                      <w:rFonts w:ascii="Georgia" w:hAnsi="Georgia" w:cs="Georgia"/>
                      <w:i/>
                      <w:u w:val="none"/>
                      <w:sz w:val="24"/>
                      <w:szCs w:val="24"/>
                      <w:color w:val="000000"/>
                    </w:rPr>
                    <w:t>Chambers Global and Chambers Europe</w:t>
                  </w:r>
                  <w:r>
                    <w:rPr>
                      <w:rFonts w:ascii="Georgia" w:hAnsi="Georgia" w:cs="Georgia"/>
                      <w:sz w:val="24"/>
                      <w:szCs w:val="24"/>
                    </w:rPr>
                    <w:t>, 2017-2021</w:t>
                  </w:r>
                </w:p>
              </w:tc>
            </w:tr>
            <w:tr>
              <w:tc>
                <w:tcPr>
                  <w:tcW w:w="5846.4" w:type="dxa"/>
                </w:tcPr>
                <w:p>
                  <w:pPr/>
                </w:p>
                <w:p>
                  <w:pPr>
                    <w:numPr>
                      <w:ilvl w:val="0"/>
                      <w:numId w:val="10"/>
                    </w:numPr>
                    <w:spacing w:after="0"/>
                  </w:pPr>
                  <w:r>
                    <w:rPr>
                      <w:rFonts w:ascii="Georgia" w:hAnsi="Georgia" w:cs="Georgia"/>
                      <w:sz w:val="24"/>
                      <w:szCs w:val="24"/>
                    </w:rPr>
                    <w:t xml:space="preserve">Capital markets: debt (Germany), </w:t>
                  </w:r>
                  <w:r>
                    <w:rPr>
                      <w:lang w:val="en-US"/>
                      <w:rFonts w:ascii="Georgia" w:hAnsi="Georgia" w:cs="Georgia"/>
                      <w:i/>
                      <w:u w:val="none"/>
                      <w:sz w:val="24"/>
                      <w:szCs w:val="24"/>
                      <w:color w:val="000000"/>
                    </w:rPr>
                    <w:t>Chambers Global and Chambers Europe</w:t>
                  </w:r>
                  <w:r>
                    <w:rPr>
                      <w:rFonts w:ascii="Georgia" w:hAnsi="Georgia" w:cs="Georgia"/>
                      <w:sz w:val="24"/>
                      <w:szCs w:val="24"/>
                    </w:rPr>
                    <w:t>, 2017-2021</w:t>
                  </w:r>
                </w:p>
              </w:tc>
            </w:tr>
            <w:tr>
              <w:tc>
                <w:tcPr>
                  <w:tcW w:w="5846.4" w:type="dxa"/>
                </w:tcPr>
                <w:p>
                  <w:pPr/>
                </w:p>
                <w:p>
                  <w:pPr>
                    <w:numPr>
                      <w:ilvl w:val="0"/>
                      <w:numId w:val="11"/>
                    </w:numPr>
                    <w:spacing w:after="0"/>
                  </w:pPr>
                  <w:r>
                    <w:rPr>
                      <w:rFonts w:ascii="Georgia" w:hAnsi="Georgia" w:cs="Georgia"/>
                      <w:sz w:val="24"/>
                      <w:szCs w:val="24"/>
                    </w:rPr>
                    <w:t xml:space="preserve">Highly regarded for capital markets: debt and derivatives as well as structured finance and securitisation, </w:t>
                  </w:r>
                  <w:r>
                    <w:rPr>
                      <w:lang w:val="en-US"/>
                      <w:rFonts w:ascii="Georgia" w:hAnsi="Georgia" w:cs="Georgia"/>
                      <w:i/>
                      <w:u w:val="none"/>
                      <w:sz w:val="24"/>
                      <w:szCs w:val="24"/>
                      <w:color w:val="000000"/>
                    </w:rPr>
                    <w:t>IFLR 1000</w:t>
                  </w:r>
                  <w:r>
                    <w:rPr>
                      <w:rFonts w:ascii="Georgia" w:hAnsi="Georgia" w:cs="Georgia"/>
                      <w:sz w:val="24"/>
                      <w:szCs w:val="24"/>
                    </w:rPr>
                    <w:t>, 2017-2021</w:t>
                  </w:r>
                </w:p>
              </w:tc>
            </w:tr>
          </w:tbl>
          <w:p>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ESG Focus: UK/EU/International ESG Regulation Monthly Round-Up – January 2026</w:t>
                  </w:r>
                  <w:r>
                    <w:rPr>
                      <w:rFonts w:ascii="Georgia" w:hAnsi="Georgia" w:cs="Georgia"/>
                      <w:sz w:val="20"/>
                      <w:szCs w:val="20"/>
                    </w:rPr>
                    <w:br/>
                  </w:r>
                  <w:r>
                    <w:rPr>
                      <w:rFonts w:ascii="Georgia" w:hAnsi="Georgia" w:cs="Georgia"/>
                      <w:sz w:val="20"/>
                      <w:szCs w:val="20"/>
                    </w:rPr>
                    <w:t>12 February 2026</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banks on the debut placement of a Green Mortgage Pfandbrief by Hamburger Sparkasse AG with an issuance volume of EUR 500 million</w:t>
                  </w:r>
                  <w:r>
                    <w:rPr>
                      <w:rFonts w:ascii="Georgia" w:hAnsi="Georgia" w:cs="Georgia"/>
                      <w:sz w:val="20"/>
                      <w:szCs w:val="20"/>
                    </w:rPr>
                    <w:br/>
                  </w:r>
                  <w:r>
                    <w:rPr>
                      <w:rFonts w:ascii="Georgia" w:hAnsi="Georgia" w:cs="Georgia"/>
                      <w:sz w:val="20"/>
                      <w:szCs w:val="20"/>
                    </w:rPr>
                    <w:t>10 February 2026</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NRW.BANK in connection with the signing of an InvestEU guarantee agreement with the European Union</w:t>
                  </w:r>
                  <w:r>
                    <w:rPr>
                      <w:rFonts w:ascii="Georgia" w:hAnsi="Georgia" w:cs="Georgia"/>
                      <w:sz w:val="20"/>
                      <w:szCs w:val="20"/>
                    </w:rPr>
                    <w:br/>
                  </w:r>
                  <w:r>
                    <w:rPr>
                      <w:rFonts w:ascii="Georgia" w:hAnsi="Georgia" w:cs="Georgia"/>
                      <w:sz w:val="20"/>
                      <w:szCs w:val="20"/>
                    </w:rPr>
                    <w:t>03 February 2026</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banks on the placement of an EUR 500 million subordinated Tier 2 green bond issued by Bayerische Landesbank</w:t>
                  </w:r>
                  <w:r>
                    <w:rPr>
                      <w:rFonts w:ascii="Georgia" w:hAnsi="Georgia" w:cs="Georgia"/>
                      <w:sz w:val="20"/>
                      <w:szCs w:val="20"/>
                    </w:rPr>
                    <w:br/>
                  </w:r>
                  <w:r>
                    <w:rPr>
                      <w:rFonts w:ascii="Georgia" w:hAnsi="Georgia" w:cs="Georgia"/>
                      <w:sz w:val="20"/>
                      <w:szCs w:val="20"/>
                    </w:rPr>
                    <w:t>22 January 2026</w:t>
                  </w:r>
                </w:p>
              </w:tc>
            </w:tr>
            <w:tr>
              <w:tc>
                <w:tcPr>
                  <w:tcW w:w="5846.4" w:type="dxa"/>
                </w:tcPr>
                <w:p>
                  <w:pPr>
                    <w:spacing w:after="220"/>
                  </w:pPr>
                  <w:r>
                    <w:rPr>
                      <w:lang w:val="en-US"/>
                      <w:rFonts w:ascii="Georgia" w:hAnsi="Georgia" w:cs="Georgia"/>
                      <w:u w:val="none"/>
                      <w:sz w:val="24"/>
                      <w:szCs w:val="24"/>
                      <w:color w:val="58A618"/>
                    </w:rPr>
                    <w:t>News</w:t>
                  </w:r>
                  <w:r>
                    <w:rPr>
                      <w:rFonts w:ascii="Georgia" w:hAnsi="Georgia" w:cs="Georgia"/>
                      <w:sz w:val="24"/>
                      <w:szCs w:val="24"/>
                    </w:rPr>
                    <w:br/>
                  </w:r>
                  <w:r>
                    <w:rPr>
                      <w:rFonts w:ascii="Georgia" w:hAnsi="Georgia" w:cs="Georgia"/>
                      <w:sz w:val="24"/>
                      <w:szCs w:val="24"/>
                    </w:rPr>
                    <w:t>ESG Focus: UK/EU/International ESG Regulation Monthly Round-Up – December 2025</w:t>
                  </w:r>
                  <w:r>
                    <w:rPr>
                      <w:rFonts w:ascii="Georgia" w:hAnsi="Georgia" w:cs="Georgia"/>
                      <w:sz w:val="20"/>
                      <w:szCs w:val="20"/>
                    </w:rPr>
                    <w:br/>
                  </w:r>
                  <w:r>
                    <w:rPr>
                      <w:rFonts w:ascii="Georgia" w:hAnsi="Georgia" w:cs="Georgia"/>
                      <w:sz w:val="20"/>
                      <w:szCs w:val="20"/>
                    </w:rPr>
                    <w:t>07 January 2026</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banks on the placement of Green Bonds of Volkswagen Bank GmbH with a total issuance volume of EUR 2.5 billion</w:t>
                  </w:r>
                  <w:r>
                    <w:rPr>
                      <w:rFonts w:ascii="Georgia" w:hAnsi="Georgia" w:cs="Georgia"/>
                      <w:sz w:val="20"/>
                      <w:szCs w:val="20"/>
                    </w:rPr>
                    <w:br/>
                  </w:r>
                  <w:r>
                    <w:rPr>
                      <w:rFonts w:ascii="Georgia" w:hAnsi="Georgia" w:cs="Georgia"/>
                      <w:sz w:val="20"/>
                      <w:szCs w:val="20"/>
                    </w:rPr>
                    <w:t>12 December 2025</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9faa3a670e4840"/>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+49 69 96 23 6700</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+49 69 962 36 100</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23c1f01fd6bc4b6c" w:history="1">
                    <w:r>
                      <w:rPr>
                        <w:rStyle w:val="Hyperlink"/>
                        <w:rFonts w:ascii="Georgia" w:hAnsi="Georgia" w:cs="Georgia"/>
                        <w:sz w:val="22"/>
                        <w:szCs w:val="22"/>
                        <w:u w:val="none"/>
                      </w:rPr>
                      <w:t>jochen.seitz@hoganlovells.com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en-US"/>
                      <w:rFonts w:ascii="Calibri" w:hAnsi="Calibri" w:cs="Calibri"/>
                      <w:u w:val="none"/>
                      <w:sz w:val="40"/>
                      <w:szCs w:val="40"/>
                      <w:color w:val="58A618"/>
                    </w:rPr>
                    <w:t>Languages</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en-US"/>
                      <w:rFonts w:ascii="Georgia" w:hAnsi="Georgia" w:cs="Georgia"/>
                      <w:u w:val="none"/>
                      <w:sz w:val="24"/>
                      <w:szCs w:val="24"/>
                      <w:color w:val="000000"/>
                    </w:rPr>
                    <w:t>English</w:t>
                  </w:r>
                </w:p>
              </w:tc>
            </w:tr>
            <w:tr>
              <w:tc>
                <w:tcPr>
                  <w:tcW w:w="3686.4" w:type="dxa"/>
                </w:tcPr>
                <w:p>
                  <w:pPr>
                    <w:spacing w:after="220"/>
                  </w:pPr>
                  <w:r>
                    <w:rPr>
                      <w:lang w:val="en-US"/>
                      <w:rFonts w:ascii="Georgia" w:hAnsi="Georgia" w:cs="Georgia"/>
                      <w:u w:val="none"/>
                      <w:sz w:val="24"/>
                      <w:szCs w:val="24"/>
                      <w:color w:val="000000"/>
                    </w:rPr>
                    <w:t>German</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4be9f82cbd824d5c" w:history="1">
                    <w:r>
                      <w:rPr>
                        <w:rStyle w:val="Hyperlink"/>
                        <w:rFonts w:ascii="Georgia" w:hAnsi="Georgia" w:cs="Georgia"/>
                        <w:sz w:val="24"/>
                        <w:szCs w:val="24"/>
                      </w:rPr>
                      <w:t>Capital Markets</w:t>
                    </w:r>
                  </w:hyperlink>
                </w:p>
              </w:tc>
            </w:tr>
            <w:tr>
              <w:tc>
                <w:tcPr>
                  <w:tcW w:w="3686.4" w:type="dxa"/>
                </w:tcPr>
                <w:p>
                  <w:pPr>
                    <w:spacing w:after="220"/>
                  </w:pPr>
                  <w:hyperlink r:id="Rbb70119e5fc14179" w:history="1">
                    <w:r>
                      <w:rPr>
                        <w:rStyle w:val="Hyperlink"/>
                        <w:rFonts w:ascii="Georgia" w:hAnsi="Georgia" w:cs="Georgia"/>
                        <w:sz w:val="24"/>
                        <w:szCs w:val="24"/>
                      </w:rPr>
                      <w:t>Financial Services</w:t>
                    </w:r>
                  </w:hyperlink>
                </w:p>
              </w:tc>
            </w:tr>
            <w:tr>
              <w:tc>
                <w:tcPr>
                  <w:tcW w:w="3686.4" w:type="dxa"/>
                </w:tcPr>
                <w:p>
                  <w:pPr>
                    <w:spacing w:after="220"/>
                  </w:pPr>
                  <w:hyperlink r:id="R0637e0ac5d694b2c" w:history="1">
                    <w:r>
                      <w:rPr>
                        <w:rStyle w:val="Hyperlink"/>
                        <w:rFonts w:ascii="Georgia" w:hAnsi="Georgia" w:cs="Georgia"/>
                        <w:sz w:val="24"/>
                        <w:szCs w:val="24"/>
                      </w:rPr>
                      <w:t>Digital Assets and Blockchain</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Industries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39e6f9ffc86146b0" w:history="1">
                    <w:r>
                      <w:rPr>
                        <w:rStyle w:val="Hyperlink"/>
                        <w:rFonts w:ascii="Georgia" w:hAnsi="Georgia" w:cs="Georgia"/>
                        <w:sz w:val="24"/>
                        <w:szCs w:val="24"/>
                      </w:rPr>
                      <w:t>Financial Institutions</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0_Areas of Focu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Areas of focus</w:t>
                  </w:r>
                </w:p>
              </w:tc>
            </w:tr>
          </w:tbl>
          <w:p w:rsidR="004A1494" w:rsidRPr="00F20A7A" w:rsidRDefault="004A149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1_AreaofFocusList"/>
            </w:tblPr>
            <w:tblGrid>
              <w:gridCol w:w="3684"/>
            </w:tblGrid>
            <w:tr>
              <w:tc>
                <w:tcPr>
                  <w:tcW w:w="3686.4" w:type="dxa"/>
                </w:tcPr>
                <w:p>
                  <w:pPr>
                    <w:spacing w:after="220"/>
                  </w:pPr>
                  <w:hyperlink r:id="R09f13faac0684783" w:history="1">
                    <w:r>
                      <w:rPr>
                        <w:rStyle w:val="Hyperlink"/>
                        <w:rFonts w:ascii="Georgia" w:hAnsi="Georgia" w:cs="Georgia"/>
                        <w:sz w:val="24"/>
                        <w:szCs w:val="24"/>
                      </w:rPr>
                      <w:t>Dealing with Financial Services Regulators</w:t>
                    </w:r>
                  </w:hyperlink>
                </w:p>
              </w:tc>
            </w:tr>
            <w:tr>
              <w:tc>
                <w:tcPr>
                  <w:tcW w:w="3686.4" w:type="dxa"/>
                </w:tcPr>
                <w:p>
                  <w:pPr>
                    <w:spacing w:after="220"/>
                  </w:pPr>
                  <w:hyperlink r:id="R720f310c23dc445c" w:history="1">
                    <w:r>
                      <w:rPr>
                        <w:rStyle w:val="Hyperlink"/>
                        <w:rFonts w:ascii="Georgia" w:hAnsi="Georgia" w:cs="Georgia"/>
                        <w:sz w:val="24"/>
                        <w:szCs w:val="24"/>
                      </w:rPr>
                      <w:t>Derivatives and Structured Products</w:t>
                    </w:r>
                  </w:hyperlink>
                </w:p>
              </w:tc>
            </w:tr>
            <w:tr>
              <w:tc>
                <w:tcPr>
                  <w:tcW w:w="3686.4" w:type="dxa"/>
                </w:tcPr>
                <w:p>
                  <w:pPr>
                    <w:spacing w:after="220"/>
                  </w:pPr>
                  <w:hyperlink r:id="R14835ce6a1b14f9e" w:history="1">
                    <w:r>
                      <w:rPr>
                        <w:rStyle w:val="Hyperlink"/>
                        <w:rFonts w:ascii="Georgia" w:hAnsi="Georgia" w:cs="Georgia"/>
                        <w:sz w:val="24"/>
                        <w:szCs w:val="24"/>
                      </w:rPr>
                      <w:t>Raising Debt Capital</w:t>
                    </w:r>
                  </w:hyperlink>
                </w:p>
              </w:tc>
            </w:tr>
            <w:tr>
              <w:tc>
                <w:tcPr>
                  <w:tcW w:w="3686.4" w:type="dxa"/>
                </w:tcPr>
                <w:p>
                  <w:pPr>
                    <w:spacing w:after="220"/>
                  </w:pPr>
                  <w:hyperlink r:id="R8a55f95fddb446d9" w:history="1">
                    <w:r>
                      <w:rPr>
                        <w:rStyle w:val="Hyperlink"/>
                        <w:rFonts w:ascii="Georgia" w:hAnsi="Georgia" w:cs="Georgia"/>
                        <w:sz w:val="24"/>
                        <w:szCs w:val="24"/>
                      </w:rPr>
                      <w:t>Securitization and Structured Finance</w:t>
                    </w:r>
                  </w:hyperlink>
                </w:p>
              </w:tc>
            </w:tr>
            <w:tr>
              <w:tc>
                <w:tcPr>
                  <w:tcW w:w="3686.4" w:type="dxa"/>
                </w:tcPr>
                <w:p>
                  <w:pPr>
                    <w:spacing w:after="220"/>
                  </w:pPr>
                  <w:hyperlink r:id="Rfbb89bc2e26f4110" w:history="1">
                    <w:r>
                      <w:rPr>
                        <w:rStyle w:val="Hyperlink"/>
                        <w:rFonts w:ascii="Georgia" w:hAnsi="Georgia" w:cs="Georgia"/>
                        <w:sz w:val="24"/>
                        <w:szCs w:val="24"/>
                      </w:rPr>
                      <w:t>Stock Exchange Listings and Regulatory Compliance</w:t>
                    </w:r>
                  </w:hyperlink>
                </w:p>
              </w:tc>
            </w:tr>
            <w:tr>
              <w:tc>
                <w:tcPr>
                  <w:tcW w:w="3686.4" w:type="dxa"/>
                </w:tcPr>
                <w:p>
                  <w:pPr>
                    <w:spacing w:after="220"/>
                  </w:pPr>
                  <w:hyperlink r:id="R54579f598cd84c49" w:history="1">
                    <w:r>
                      <w:rPr>
                        <w:rStyle w:val="Hyperlink"/>
                        <w:rFonts w:ascii="Georgia" w:hAnsi="Georgia" w:cs="Georgia"/>
                        <w:sz w:val="24"/>
                        <w:szCs w:val="24"/>
                      </w:rPr>
                      <w:t>Sustainable Finance &amp; Investment</w:t>
                    </w:r>
                  </w:hyperlink>
                </w:p>
              </w:tc>
            </w:tr>
          </w:tbl>
          <w:p w:rsidR="00D66ED7"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2_border5"/>
            </w:tblPr>
            <w:tblGrid>
              <w:gridCol w:w="3684"/>
            </w:tblGrid>
            <w:tr w:rsidR="0060354B" w:rsidTr="00FE240B">
              <w:trPr>
                <w:trHeight w:val="158"/>
              </w:trPr>
              <w:tc>
                <w:tcPr>
                  <w:tcW w:w="3684" w:type="dxa"/>
                </w:tcPr>
                <w:p w:rsidR="0060354B" w:rsidRDefault="0060354B">
                  <w:pPr>
                    <w:rPr>
                      <w:sz w:val="4"/>
                      <w:szCs w:val="4"/>
                    </w:rPr>
                  </w:pPr>
                  <w:r w:rsidRPr="009D25A3">
                    <w:rPr>
                      <w:noProof/>
                      <w:color w:val="E7E6E6" w:themeColor="background2"/>
                    </w:rPr>
                    <mc:AlternateContent>
                      <mc:Choice Requires="wps">
                        <w:drawing>
                          <wp:anchor distT="0" distB="0" distL="114300" distR="114300" simplePos="0" relativeHeight="251691008" behindDoc="0" locked="0" layoutInCell="1" allowOverlap="1" wp14:anchorId="2F6A9D8C" wp14:editId="282AE259">
                            <wp:simplePos x="0" y="0"/>
                            <wp:positionH relativeFrom="column">
                              <wp:posOffset>-3174</wp:posOffset>
                            </wp:positionH>
                            <wp:positionV relativeFrom="paragraph">
                              <wp:posOffset>50800</wp:posOffset>
                            </wp:positionV>
                            <wp:extent cx="22098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22098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2D387B" id="Straight Connector 7"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pt" to="173.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" strokecolor="#ccc" strokeweight="1.5pt">
                            <v:stroke joinstyle="miter"/>
                          </v:line>
                        </w:pict>
                      </mc:Fallback>
                    </mc:AlternateContent>
                  </w:r>
                </w:p>
              </w:tc>
            </w:tr>
          </w:tbl>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Dr. iur., JMU Würzburg (Julius-Maximilians-Universität), 1999</w:t>
                  </w:r>
                </w:p>
              </w:tc>
            </w:tr>
            <w:tr>
              <w:tc>
                <w:tcPr>
                  <w:tcW w:w="3686.4" w:type="dxa"/>
                </w:tcPr>
                <w:p>
                  <w:pPr>
                    <w:spacing w:after="220"/>
                  </w:pPr>
                  <w:r>
                    <w:rPr>
                      <w:lang w:val="en-US"/>
                      <w:rFonts w:ascii="Georgia" w:hAnsi="Georgia" w:cs="Georgia"/>
                      <w:u w:val="none"/>
                      <w:sz w:val="24"/>
                      <w:szCs w:val="24"/>
                      <w:color w:val="000000"/>
                    </w:rPr>
                    <w:t>Second State Exam in Law, Bavaria, 1999</w:t>
                  </w:r>
                </w:p>
              </w:tc>
            </w:tr>
            <w:tr>
              <w:tc>
                <w:tcPr>
                  <w:tcW w:w="3686.4" w:type="dxa"/>
                </w:tcPr>
                <w:p>
                  <w:pPr>
                    <w:spacing w:after="220"/>
                  </w:pPr>
                  <w:r>
                    <w:rPr>
                      <w:lang w:val="en-US"/>
                      <w:rFonts w:ascii="Georgia" w:hAnsi="Georgia" w:cs="Georgia"/>
                      <w:u w:val="none"/>
                      <w:sz w:val="24"/>
                      <w:szCs w:val="24"/>
                      <w:color w:val="000000"/>
                    </w:rPr>
                    <w:t>First State Exam in Law, JMU Würzburg (Julius-Maximilians-Universität), 1996</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7_Memberships"/>
            </w:tblPr>
            <w:tblGrid>
              <w:gridCol w:w="3684"/>
            </w:tblGrid>
            <w:tr w:rsidR="004A1494" w:rsidTr="003A43D4">
              <w:tc>
                <w:tcPr>
                  <w:tcW w:w="3684" w:type="dxa"/>
                </w:tcPr>
                <w:p w:rsidR="004A1494" w:rsidRPr="00F90870" w:rsidRDefault="004A1494">
                  <w:pPr>
                    <w:rPr>
                      <w:sz w:val="44"/>
                      <w:szCs w:val="44"/>
                    </w:rPr>
                  </w:pPr>
                  <w:r>
                    <w:rPr>
                      <w:lang w:val="en-US"/>
                      <w:rFonts w:ascii="Calibri" w:hAnsi="Calibri" w:cs="Calibri"/>
                      <w:u w:val="none"/>
                      <w:sz w:val="40"/>
                      <w:szCs w:val="40"/>
                      <w:color w:val="58A618"/>
                    </w:rPr>
                    <w:t>Memberships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8_MembershipsList"/>
            </w:tblPr>
            <w:tblGrid>
              <w:gridCol w:w="3684"/>
            </w:tblGrid>
            <w:tr>
              <w:tc>
                <w:tcPr>
                  <w:tcW w:w="3686.4" w:type="dxa"/>
                </w:tcPr>
                <w:p>
                  <w:pPr>
                    <w:spacing w:after="220"/>
                  </w:pPr>
                  <w:r>
                    <w:rPr>
                      <w:lang w:val="en-US"/>
                      <w:rFonts w:ascii="Georgia" w:hAnsi="Georgia" w:cs="Georgia"/>
                      <w:u w:val="none"/>
                      <w:sz w:val="24"/>
                      <w:szCs w:val="24"/>
                      <w:color w:val="000000"/>
                    </w:rPr>
                    <w:t>Independent Expert in the Legal and Regulatory Committee of the German Derivatives Association (Deutscher Derivate Verband)</w:t>
                  </w:r>
                </w:p>
              </w:tc>
            </w:tr>
          </w:tbl>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9_border7"/>
            </w:tblPr>
            <w:tblGrid>
              <w:gridCol w:w="3684"/>
            </w:tblGrid>
            <w:tr w:rsidR="00BF719B" w:rsidRPr="00BF719B" w:rsidTr="00FE240B">
              <w:trPr>
                <w:trHeight w:val="158"/>
              </w:trPr>
              <w:tc>
                <w:tcPr>
                  <w:tcW w:w="3684" w:type="dxa"/>
                </w:tcPr>
                <w:p w:rsidR="00BF719B" w:rsidRPr="00D932FF" w:rsidRDefault="00BF719B">
                  <w:pPr>
                    <w:rPr>
                      <w:sz w:val="16"/>
                      <w:szCs w:val="16"/>
                    </w:rPr>
                  </w:pPr>
                  <w:r w:rsidRPr="00D932FF">
                    <w:rPr>
                      <w:noProof/>
                      <w:color w:val="E7E6E6" w:themeColor="background2"/>
                      <w:sz w:val="16"/>
                      <w:szCs w:val="16"/>
                    </w:rPr>
                    <mc:AlternateContent>
                      <mc:Choice Requires="wps">
                        <w:drawing>
                          <wp:anchor distT="0" distB="0" distL="114300" distR="114300" simplePos="0" relativeHeight="251693056" behindDoc="0" locked="0" layoutInCell="1" allowOverlap="1" wp14:anchorId="073BD4AC" wp14:editId="1D5A7BB7">
                            <wp:simplePos x="0" y="0"/>
                            <wp:positionH relativeFrom="column">
                              <wp:posOffset>-12700</wp:posOffset>
                            </wp:positionH>
                            <wp:positionV relativeFrom="paragraph">
                              <wp:posOffset>69215</wp:posOffset>
                            </wp:positionV>
                            <wp:extent cx="22288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E05EB12" id="Straight Connector 1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5.45pt" to="174.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" strokecolor="#ccc" strokeweight="1.5pt">
                            <v:stroke joinstyle="miter"/>
                          </v:line>
                        </w:pict>
                      </mc:Fallback>
                    </mc:AlternateContent>
                  </w:r>
                </w:p>
              </w:tc>
            </w:tr>
          </w:tbl>
          <w:p w:rsidR="0079721B" w:rsidRDefault="0079721B">
            <w:pPr>
              <w:rPr>
                <w:sz w:val="4"/>
                <w:szCs w:val="4"/>
              </w:rPr>
            </w:pPr>
          </w:p>
          <w:p w:rsidR="0079721B" w:rsidRDefault="0079721B">
            <w:pPr>
              <w:rPr>
                <w:sz w:val="4"/>
                <w:szCs w:val="4"/>
              </w:rPr>
            </w:pPr>
          </w:p>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6_Accolades"/>
            </w:tblPr>
            <w:tblGrid>
              <w:gridCol w:w="3684"/>
            </w:tblGrid>
            <w:tr w:rsidR="00D74D97" w:rsidTr="003A43D4">
              <w:trPr>
                <w:trHeight w:val="287"/>
              </w:trPr>
              <w:tc>
                <w:tcPr>
                  <w:tcW w:w="3684" w:type="dxa"/>
                </w:tcPr>
                <w:p w:rsidR="00D74D97" w:rsidRDefault="00D74D97">
                  <w:r>
                    <w:rPr>
                      <w:lang w:val="en-US"/>
                      <w:rFonts w:ascii="Calibri" w:hAnsi="Calibri" w:cs="Calibri"/>
                      <w:u w:val="none"/>
                      <w:sz w:val="40"/>
                      <w:szCs w:val="40"/>
                      <w:color w:val="58A618"/>
                    </w:rPr>
                    <w:t>Accolades</w:t>
                  </w:r>
                </w:p>
              </w:tc>
            </w:tr>
          </w:tbl>
          <w:p w:rsidR="001A7332" w:rsidRPr="001A7332" w:rsidRDefault="001A7332">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7_QuotesList"/>
            </w:tblPr>
            <w:tblGrid>
              <w:gridCol w:w="3686"/>
            </w:tblGrid>
            <w:tr>
              <w:tc>
                <w:tcPr>
                  <w:tcW w:w="3686.4" w:type="dxa"/>
                </w:tcPr>
                <w:p>
                  <w:pPr>
                    <w:spacing w:after="120"/>
                  </w:pPr>
                  <w:r>
                    <w:rPr>
                      <w:lang w:val="en-US"/>
                      <w:rFonts w:ascii="Georgia" w:hAnsi="Georgia" w:cs="Georgia"/>
                      <w:u w:val="none"/>
                      <w:sz w:val="24"/>
                      <w:szCs w:val="24"/>
                      <w:color w:val="000000"/>
                    </w:rPr>
                    <w:t>Clients appreciate him for his "technical knowledge, commercial awareness, effectiveness and client service."</w:t>
                  </w:r>
                </w:p>
                <w:p>
                  <w:pPr>
                    <w:jc w:val="right"/>
                    <w:spacing w:after="300"/>
                  </w:pPr>
                  <w:r>
                    <w:rPr>
                      <w:lang w:val="en-US"/>
                      <w:u w:val="none"/>
                      <w:i/>
                      <w:rFonts w:ascii="Georgia" w:hAnsi="Georgia" w:cs="Georgia"/>
                      <w:sz w:val="24"/>
                      <w:szCs w:val="24"/>
                    </w:rPr>
                    <w:t>Chambers Global and Chambers Europe, 2019</w:t>
                  </w:r>
                </w:p>
              </w:tc>
            </w:tr>
            <w:tr>
              <w:tc>
                <w:tcPr>
                  <w:tcW w:w="3686.4" w:type="dxa"/>
                </w:tcPr>
                <w:p>
                  <w:pPr>
                    <w:spacing w:after="120"/>
                  </w:pPr>
                  <w:r>
                    <w:rPr>
                      <w:lang w:val="en-US"/>
                      <w:rFonts w:ascii="Georgia" w:hAnsi="Georgia" w:cs="Georgia"/>
                      <w:u w:val="none"/>
                      <w:sz w:val="24"/>
                      <w:szCs w:val="24"/>
                      <w:color w:val="000000"/>
                    </w:rPr>
                    <w:t>Clients praise his "reliable leadership and ability to thoroughly assess matters to take into transactions and projects."</w:t>
                  </w:r>
                </w:p>
                <w:p>
                  <w:pPr>
                    <w:jc w:val="right"/>
                    <w:spacing w:after="300"/>
                  </w:pPr>
                  <w:r>
                    <w:rPr>
                      <w:lang w:val="en-US"/>
                      <w:u w:val="none"/>
                      <w:i/>
                      <w:rFonts w:ascii="Georgia" w:hAnsi="Georgia" w:cs="Georgia"/>
                      <w:sz w:val="24"/>
                      <w:szCs w:val="24"/>
                    </w:rPr>
                    <w:t>Chambers Global, 2017, and Chambers Europe, 2017</w:t>
                  </w:r>
                </w:p>
              </w:tc>
            </w:tr>
            <w:tr>
              <w:tc>
                <w:tcPr>
                  <w:tcW w:w="3686.4" w:type="dxa"/>
                </w:tcPr>
                <w:p>
                  <w:pPr>
                    <w:spacing w:after="120"/>
                  </w:pPr>
                  <w:r>
                    <w:rPr>
                      <w:lang w:val="en-US"/>
                      <w:rFonts w:ascii="Georgia" w:hAnsi="Georgia" w:cs="Georgia"/>
                      <w:u w:val="none"/>
                      <w:sz w:val="24"/>
                      <w:szCs w:val="24"/>
                      <w:color w:val="000000"/>
                    </w:rPr>
                    <w:t>“Especially in the area of prospectus law and the analysis and implementation of regulatory developments, the colleagues have a deep understanding of both legal requirements and market practices.”</w:t>
                  </w:r>
                </w:p>
                <w:p>
                  <w:pPr>
                    <w:jc w:val="right"/>
                    <w:spacing w:after="300"/>
                  </w:pPr>
                  <w:r>
                    <w:rPr>
                      <w:lang w:val="en-US"/>
                      <w:u w:val="none"/>
                      <w:i/>
                      <w:rFonts w:ascii="Georgia" w:hAnsi="Georgia" w:cs="Georgia"/>
                      <w:sz w:val="24"/>
                      <w:szCs w:val="24"/>
                    </w:rPr>
                    <w:t>Legal 500 EMEA (Germany), 2021</w:t>
                  </w:r>
                </w:p>
              </w:tc>
            </w:tr>
            <w:tr>
              <w:tc>
                <w:tcPr>
                  <w:tcW w:w="3686.4" w:type="dxa"/>
                </w:tcPr>
                <w:p>
                  <w:pPr>
                    <w:spacing w:after="120"/>
                  </w:pPr>
                  <w:r>
                    <w:rPr>
                      <w:lang w:val="en-US"/>
                      <w:rFonts w:ascii="Georgia" w:hAnsi="Georgia" w:cs="Georgia"/>
                      <w:u w:val="none"/>
                      <w:sz w:val="24"/>
                      <w:szCs w:val="24"/>
                      <w:color w:val="000000"/>
                    </w:rPr>
                    <w:t>"long-standing intensive and faithful cooperation" (client)</w:t>
                  </w:r>
                </w:p>
                <w:p>
                  <w:pPr>
                    <w:jc w:val="right"/>
                    <w:spacing w:after="300"/>
                  </w:pPr>
                  <w:r>
                    <w:rPr>
                      <w:lang w:val="en-US"/>
                      <w:u w:val="none"/>
                      <w:i/>
                      <w:rFonts w:ascii="Georgia" w:hAnsi="Georgia" w:cs="Georgia"/>
                      <w:sz w:val="24"/>
                      <w:szCs w:val="24"/>
                    </w:rPr>
                    <w:t>JUVE handbook, 2017/2018</w:t>
                  </w:r>
                </w:p>
              </w:tc>
            </w:tr>
            <w:tr>
              <w:tc>
                <w:tcPr>
                  <w:tcW w:w="3686.4" w:type="dxa"/>
                </w:tcPr>
                <w:p>
                  <w:pPr>
                    <w:spacing w:after="120"/>
                  </w:pPr>
                  <w:r>
                    <w:rPr>
                      <w:lang w:val="en-US"/>
                      <w:rFonts w:ascii="Georgia" w:hAnsi="Georgia" w:cs="Georgia"/>
                      <w:u w:val="none"/>
                      <w:sz w:val="24"/>
                      <w:szCs w:val="24"/>
                      <w:color w:val="000000"/>
                    </w:rPr>
                    <w:t>"long-standing intensive and faithful cooperation" (client)</w:t>
                  </w:r>
                </w:p>
                <w:p>
                  <w:pPr>
                    <w:jc w:val="right"/>
                    <w:spacing w:after="300"/>
                  </w:pPr>
                  <w:r>
                    <w:rPr>
                      <w:lang w:val="en-US"/>
                      <w:u w:val="none"/>
                      <w:i/>
                      <w:rFonts w:ascii="Georgia" w:hAnsi="Georgia" w:cs="Georgia"/>
                      <w:sz w:val="24"/>
                      <w:szCs w:val="24"/>
                    </w:rPr>
                    <w:t>JUVE handbook, 2017</w:t>
                  </w:r>
                </w:p>
              </w:tc>
            </w:tr>
            <w:tr>
              <w:tc>
                <w:tcPr>
                  <w:tcW w:w="3686.4" w:type="dxa"/>
                </w:tcPr>
                <w:p>
                  <w:pPr>
                    <w:spacing w:after="120"/>
                  </w:pPr>
                  <w:r>
                    <w:rPr>
                      <w:lang w:val="en-US"/>
                      <w:rFonts w:ascii="Georgia" w:hAnsi="Georgia" w:cs="Georgia"/>
                      <w:u w:val="none"/>
                      <w:sz w:val="24"/>
                      <w:szCs w:val="24"/>
                      <w:color w:val="000000"/>
                    </w:rPr>
                    <w:t>"one of the most high-profile competitors" and "extremely good, thorough advisor" (competitor)</w:t>
                  </w:r>
                </w:p>
                <w:p>
                  <w:pPr>
                    <w:jc w:val="right"/>
                    <w:spacing w:after="300"/>
                  </w:pPr>
                  <w:r>
                    <w:rPr>
                      <w:lang w:val="en-US"/>
                      <w:u w:val="none"/>
                      <w:i/>
                      <w:rFonts w:ascii="Georgia" w:hAnsi="Georgia" w:cs="Georgia"/>
                      <w:sz w:val="24"/>
                      <w:szCs w:val="24"/>
                    </w:rPr>
                    <w:t>JUVE handbook, 2017</w:t>
                  </w:r>
                </w:p>
              </w:tc>
            </w:tr>
            <w:tr>
              <w:tc>
                <w:tcPr>
                  <w:tcW w:w="3686.4" w:type="dxa"/>
                </w:tcPr>
                <w:p>
                  <w:pPr>
                    <w:spacing w:after="120"/>
                  </w:pPr>
                  <w:r>
                    <w:rPr>
                      <w:lang w:val="en-US"/>
                      <w:rFonts w:ascii="Georgia" w:hAnsi="Georgia" w:cs="Georgia"/>
                      <w:u w:val="none"/>
                      <w:sz w:val="24"/>
                      <w:szCs w:val="24"/>
                      <w:color w:val="000000"/>
                    </w:rPr>
                    <w:t>“very good with MiFID issues“, client</w:t>
                  </w:r>
                </w:p>
                <w:p>
                  <w:pPr>
                    <w:jc w:val="right"/>
                    <w:spacing w:after="300"/>
                  </w:pPr>
                  <w:r>
                    <w:rPr>
                      <w:lang w:val="en-US"/>
                      <w:u w:val="none"/>
                      <w:i/>
                      <w:rFonts w:ascii="Georgia" w:hAnsi="Georgia" w:cs="Georgia"/>
                      <w:sz w:val="24"/>
                      <w:szCs w:val="24"/>
                    </w:rPr>
                    <w:t>JUVE handbook, 2019/2020</w:t>
                  </w:r>
                </w:p>
              </w:tc>
            </w:tr>
            <w:tr>
              <w:tc>
                <w:tcPr>
                  <w:tcW w:w="3686.4" w:type="dxa"/>
                </w:tcPr>
                <w:p>
                  <w:pPr>
                    <w:spacing w:after="120"/>
                  </w:pPr>
                  <w:r>
                    <w:rPr>
                      <w:lang w:val="en-US"/>
                      <w:rFonts w:ascii="Georgia" w:hAnsi="Georgia" w:cs="Georgia"/>
                      <w:u w:val="none"/>
                      <w:sz w:val="24"/>
                      <w:szCs w:val="24"/>
                      <w:color w:val="000000"/>
                    </w:rPr>
                    <w:t>“very visible“, client</w:t>
                  </w:r>
                </w:p>
                <w:p>
                  <w:pPr>
                    <w:jc w:val="right"/>
                    <w:spacing w:after="300"/>
                  </w:pPr>
                  <w:r>
                    <w:rPr>
                      <w:lang w:val="en-US"/>
                      <w:u w:val="none"/>
                      <w:i/>
                      <w:rFonts w:ascii="Georgia" w:hAnsi="Georgia" w:cs="Georgia"/>
                      <w:sz w:val="24"/>
                      <w:szCs w:val="24"/>
                    </w:rPr>
                    <w:t>JUVE handbook, 2019/2020</w:t>
                  </w:r>
                </w:p>
              </w:tc>
            </w:tr>
            <w:tr>
              <w:tc>
                <w:tcPr>
                  <w:tcW w:w="3686.4" w:type="dxa"/>
                </w:tcPr>
                <w:p>
                  <w:pPr>
                    <w:spacing w:after="120"/>
                  </w:pPr>
                  <w:r>
                    <w:rPr>
                      <w:lang w:val="en-US"/>
                      <w:rFonts w:ascii="Georgia" w:hAnsi="Georgia" w:cs="Georgia"/>
                      <w:u w:val="none"/>
                      <w:sz w:val="24"/>
                      <w:szCs w:val="24"/>
                      <w:color w:val="000000"/>
                    </w:rPr>
                    <w:t>“very visible in the market“, “always on the go“, competitors</w:t>
                  </w:r>
                </w:p>
                <w:p>
                  <w:pPr>
                    <w:jc w:val="right"/>
                    <w:spacing w:after="300"/>
                  </w:pPr>
                  <w:r>
                    <w:rPr>
                      <w:lang w:val="en-US"/>
                      <w:u w:val="none"/>
                      <w:i/>
                      <w:rFonts w:ascii="Georgia" w:hAnsi="Georgia" w:cs="Georgia"/>
                      <w:sz w:val="24"/>
                      <w:szCs w:val="24"/>
                    </w:rPr>
                    <w:t>JUVE handbook, 2017/2018</w:t>
                  </w:r>
                </w:p>
              </w:tc>
            </w:tr>
            <w:tr>
              <w:tc>
                <w:tcPr>
                  <w:tcW w:w="3686.4" w:type="dxa"/>
                </w:tcPr>
                <w:p>
                  <w:pPr>
                    <w:spacing w:after="120"/>
                  </w:pPr>
                  <w:r>
                    <w:rPr>
                      <w:lang w:val="en-US"/>
                      <w:rFonts w:ascii="Georgia" w:hAnsi="Georgia" w:cs="Georgia"/>
                      <w:u w:val="none"/>
                      <w:sz w:val="24"/>
                      <w:szCs w:val="24"/>
                      <w:color w:val="000000"/>
                    </w:rPr>
                    <w:t>“we have been working together for years in a spirit of trust“, client</w:t>
                  </w:r>
                </w:p>
                <w:p>
                  <w:pPr>
                    <w:jc w:val="right"/>
                    <w:spacing w:after="300"/>
                  </w:pPr>
                  <w:r>
                    <w:rPr>
                      <w:lang w:val="en-US"/>
                      <w:u w:val="none"/>
                      <w:i/>
                      <w:rFonts w:ascii="Georgia" w:hAnsi="Georgia" w:cs="Georgia"/>
                      <w:sz w:val="24"/>
                      <w:szCs w:val="24"/>
                    </w:rPr>
                    <w:t>JUVE handbook, 2018/2019</w:t>
                  </w:r>
                </w:p>
              </w:tc>
            </w:tr>
            <w:tr>
              <w:tc>
                <w:tcPr>
                  <w:tcW w:w="3686.4" w:type="dxa"/>
                </w:tcPr>
                <w:p>
                  <w:pPr>
                    <w:spacing w:after="120"/>
                  </w:pPr>
                  <w:r>
                    <w:rPr>
                      <w:lang w:val="en-US"/>
                      <w:rFonts w:ascii="Georgia" w:hAnsi="Georgia" w:cs="Georgia"/>
                      <w:u w:val="none"/>
                      <w:sz w:val="24"/>
                      <w:szCs w:val="24"/>
                      <w:color w:val="000000"/>
                    </w:rPr>
                    <w:t>“We’ve worked closely together with Dr Jochen Seitz for years, he is an expert in the area of capital markets law and financial regulation.”</w:t>
                  </w:r>
                </w:p>
                <w:p>
                  <w:pPr>
                    <w:jc w:val="right"/>
                    <w:spacing w:after="300"/>
                  </w:pPr>
                  <w:r>
                    <w:rPr>
                      <w:lang w:val="en-US"/>
                      <w:u w:val="none"/>
                      <w:i/>
                      <w:rFonts w:ascii="Georgia" w:hAnsi="Georgia" w:cs="Georgia"/>
                      <w:sz w:val="24"/>
                      <w:szCs w:val="24"/>
                    </w:rPr>
                    <w:t>IFLR1000 - Capital markets: derivatives, 2020</w:t>
                  </w:r>
                </w:p>
              </w:tc>
            </w:tr>
          </w:tbl>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8_border10"/>
            </w:tblPr>
            <w:tblGrid>
              <w:gridCol w:w="3686"/>
            </w:tblGrid>
            <w:tr w:rsidR="00181440" w:rsidTr="00FE240B">
              <w:trPr>
                <w:trHeight w:val="158"/>
              </w:trPr>
              <w:tc>
                <w:tcPr>
                  <w:tcW w:w="3686" w:type="dxa"/>
                </w:tcPr>
                <w:p w:rsidR="00181440" w:rsidRPr="00D932FF" w:rsidRDefault="00181440">
                  <w:pPr>
                    <w:rPr>
                      <w:sz w:val="16"/>
                      <w:szCs w:val="16"/>
                    </w:rPr>
                  </w:pPr>
                  <w:r w:rsidRPr="00D932FF">
                    <w:rPr>
                      <w:noProof/>
                      <w:color w:val="E7E6E6" w:themeColor="background2"/>
                      <w:sz w:val="16"/>
                      <w:szCs w:val="16"/>
                    </w:rPr>
                    <mc:AlternateContent>
                      <mc:Choice Requires="wps">
                        <w:drawing>
                          <wp:anchor distT="0" distB="0" distL="114300" distR="114300" simplePos="0" relativeHeight="251697152" behindDoc="0" locked="0" layoutInCell="1" allowOverlap="1" wp14:anchorId="06B872CB" wp14:editId="6D189D00">
                            <wp:simplePos x="0" y="0"/>
                            <wp:positionH relativeFrom="column">
                              <wp:posOffset>-12700</wp:posOffset>
                            </wp:positionH>
                            <wp:positionV relativeFrom="paragraph">
                              <wp:posOffset>29211</wp:posOffset>
                            </wp:positionV>
                            <wp:extent cx="2247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4790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2BAF56" id="Straight Connector 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2.3pt" to="176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" strokecolor="#ccc" strokeweight="1.5pt">
                            <v:stroke joinstyle="miter"/>
                          </v:line>
                        </w:pict>
                      </mc:Fallback>
                    </mc:AlternateContent>
                  </w:r>
                </w:p>
              </w:tc>
            </w:tr>
          </w:tbl>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num>
  <w:num w:numId="2">
    <w:abstractNumId w:val="1"/>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8e9f5ecf-0747-4ee4-8e3b-934140ca73c6.jpeg" Id="R9f9faa3a670e4840" /><Relationship Type="http://schemas.openxmlformats.org/officeDocument/2006/relationships/hyperlink" Target="mailto:jochen.seitz@hoganlovells.com" TargetMode="External" Id="R23c1f01fd6bc4b6c" /><Relationship Type="http://schemas.openxmlformats.org/officeDocument/2006/relationships/hyperlink" Target="https://mc-7c5ead77-4153-4f21-9a29-b0c7-cm.azurewebsites.net//en/service/capital-markets" TargetMode="External" Id="R4be9f82cbd824d5c" /><Relationship Type="http://schemas.openxmlformats.org/officeDocument/2006/relationships/hyperlink" Target="https://mc-7c5ead77-4153-4f21-9a29-b0c7-cm.azurewebsites.net//en/service/financial-services" TargetMode="External" Id="Rbb70119e5fc14179" /><Relationship Type="http://schemas.openxmlformats.org/officeDocument/2006/relationships/hyperlink" Target="https://mc-7c5ead77-4153-4f21-9a29-b0c7-cm.azurewebsites.net//en/service/digital-assets-and-blockchain" TargetMode="External" Id="R0637e0ac5d694b2c" /><Relationship Type="http://schemas.openxmlformats.org/officeDocument/2006/relationships/hyperlink" Target="https://mc-7c5ead77-4153-4f21-9a29-b0c7-cm.azurewebsites.net//en/sector/financial-institutions" TargetMode="External" Id="R39e6f9ffc86146b0" /><Relationship Type="http://schemas.openxmlformats.org/officeDocument/2006/relationships/hyperlink" Target="https://mc-7c5ead77-4153-4f21-9a29-b0c7-cm.azurewebsites.net/https://www.hoganlovells.com/en/capabilities/practice-category-group/global-regulatory" TargetMode="External" Id="R09f13faac0684783" /><Relationship Type="http://schemas.openxmlformats.org/officeDocument/2006/relationships/hyperlink" Target="https://mc-7c5ead77-4153-4f21-9a29-b0c7-cm.azurewebsites.net//en/aof/derivatives-and-structured-products" TargetMode="External" Id="R720f310c23dc445c" /><Relationship Type="http://schemas.openxmlformats.org/officeDocument/2006/relationships/hyperlink" Target="https://mc-7c5ead77-4153-4f21-9a29-b0c7-cm.azurewebsites.net//en/aof/raising-debt-capital" TargetMode="External" Id="R14835ce6a1b14f9e" /><Relationship Type="http://schemas.openxmlformats.org/officeDocument/2006/relationships/hyperlink" Target="https://mc-7c5ead77-4153-4f21-9a29-b0c7-cm.azurewebsites.net//en/aof/securitization-and-structured-finance" TargetMode="External" Id="R8a55f95fddb446d9" /><Relationship Type="http://schemas.openxmlformats.org/officeDocument/2006/relationships/hyperlink" Target="https://mc-7c5ead77-4153-4f21-9a29-b0c7-cm.azurewebsites.net//en/aof/stock-exchange-listings-and-regulatory-compliance" TargetMode="External" Id="Rfbb89bc2e26f4110" /><Relationship Type="http://schemas.openxmlformats.org/officeDocument/2006/relationships/hyperlink" Target="https://mc-7c5ead77-4153-4f21-9a29-b0c7-cm.azurewebsites.net//en/aof/sustainable-finance-and-investment" TargetMode="External" Id="R54579f598cd84c49"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