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Dr. Detlef Haß</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Managing Partner for Germany</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Munich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Detlef Haß is a commercial litigation partner, who has supported trials in more than 20 countries and led more than 100 hearings in Germany. For the most complex B2B disputes, senior litigator Detlef will bring specific experience to the table. Widely recognized as a pioneer in the German market, Detlef and his team have developed best practice over the years how to approach high profile commercial conflicts with clients, judges and other parties involved. Detlef is known for translating complex facts to judges.</w:t>
                  </w:r>
                  <w:r>
                    <w:br/>
                  </w:r>
                </w:p>
                <w:p>
                  <w:pPr>
                    <w:spacing w:line="276"/>
                  </w:pPr>
                  <w:r>
                    <w:rPr>
                      <w:rFonts w:ascii="Georgia" w:hAnsi="Georgia" w:cs="Georgia"/>
                      <w:sz w:val="24"/>
                      <w:szCs w:val="24"/>
                    </w:rPr>
                    <w:t>Detlef is a market leader and is widely known with judges and in the industry for his expertise and presence in the market. His expertise has been sought after recently particularly in automotive-related disputes and insolvency cases. In supply chain related cases he has a brought expertise in injunctive cases to reinstate supplies, in warranty and damages cases as well as in advising on strategic procurement navigating the stress factors on supply chains as they arise.</w:t>
                  </w:r>
                  <w:r>
                    <w:br/>
                  </w:r>
                </w:p>
                <w:p>
                  <w:pPr>
                    <w:spacing w:line="276"/>
                  </w:pPr>
                  <w:r>
                    <w:rPr>
                      <w:rFonts w:ascii="Georgia" w:hAnsi="Georgia" w:cs="Georgia"/>
                      <w:sz w:val="24"/>
                      <w:szCs w:val="24"/>
                    </w:rPr>
                    <w:t>He also is well known for his expertise in clawback cases in insolvency, white collar crime for businesses, asset tracing, anti-trust damages or post-M&amp;A. Detlef has been dealing with similar cases in his more than 30 years of experience. He is at home in the automotive industry, technology and life sciences industry.</w:t>
                  </w:r>
                  <w:r>
                    <w:br/>
                  </w:r>
                </w:p>
                <w:p>
                  <w:pPr>
                    <w:spacing w:line="276"/>
                  </w:pPr>
                  <w:r>
                    <w:rPr>
                      <w:rFonts w:ascii="Georgia" w:hAnsi="Georgia" w:cs="Georgia"/>
                      <w:sz w:val="24"/>
                      <w:szCs w:val="24"/>
                    </w:rPr>
                    <w:t>He “impresses with his expert handling of sophisticated commercial disputes” (Who’s Who Legal, 2019) and is frequently recommended for commercial litigation and liability (JUVE Handbook, 2023/2024). Clients perceive him as “an accomplished litigator, boasting expertise in insolvency, supply chain, cyber-crime and cartel disputes.” (Chambers Europe, 2018), and regard him as a “leader in the field and strong litigator with a comprehensive knowledge of the German market” (Who’s Who Legal, 2018). </w:t>
                  </w:r>
                  <w:r>
                    <w:br/>
                  </w:r>
                </w:p>
                <w:p>
                  <w:pPr>
                    <w:spacing w:line="276"/>
                  </w:pPr>
                  <w:r>
                    <w:rPr>
                      <w:rFonts w:ascii="Georgia" w:hAnsi="Georgia" w:cs="Georgia"/>
                      <w:sz w:val="24"/>
                      <w:szCs w:val="24"/>
                    </w:rPr>
                    <w:t>Detlef is the Managing Partner for Germany. He is admitted as Rechtsanwalt in Germany and as Solicitor in England and Wales. He is active in pro bono and citizenship matters.</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Representing a German OEM in a highly publicized supply chain dispute with some of its suppliers and advising the client in terminating the supply relationships. </w:t>
                  </w:r>
                  <w:r>
                    <w:rPr>
                      <w:lang w:val="en-US"/>
                      <w:u w:val="none"/>
                    </w:rPr>
                    <w:br/>
                  </w:r>
                  <w:r>
                    <w:rPr>
                      <w:lang w:val="en-US"/>
                      <w:u w:val="none"/>
                    </w:rPr>
                    <w:br/>
                  </w:r>
                  <w:r>
                    <w:rPr>
                      <w:lang w:val="en-US"/>
                      <w:rFonts w:ascii="Georgia" w:hAnsi="Georgia" w:cs="Georgia"/>
                      <w:u w:val="none"/>
                      <w:sz w:val="24"/>
                      <w:szCs w:val="24"/>
                      <w:color w:val="000000"/>
                    </w:rPr>
                    <w:t>Representing a leading chemical company in connection with the enforcement of claims arising from long-term supply contracts.</w:t>
                  </w:r>
                  <w:r>
                    <w:rPr>
                      <w:lang w:val="en-US"/>
                      <w:u w:val="none"/>
                    </w:rPr>
                    <w:br/>
                  </w:r>
                  <w:r>
                    <w:rPr>
                      <w:lang w:val="en-US"/>
                      <w:u w:val="none"/>
                    </w:rPr>
                    <w:br/>
                  </w:r>
                  <w:r>
                    <w:rPr>
                      <w:lang w:val="en-US"/>
                      <w:rFonts w:ascii="Georgia" w:hAnsi="Georgia" w:cs="Georgia"/>
                      <w:u w:val="none"/>
                      <w:sz w:val="24"/>
                      <w:szCs w:val="24"/>
                      <w:color w:val="000000"/>
                    </w:rPr>
                    <w:t>Representing Air Canada in Germany regarding a follow-on damages claim brought by forwarders and shippers in the context of the air cargo cartel.</w:t>
                  </w:r>
                  <w:r>
                    <w:rPr>
                      <w:lang w:val="en-US"/>
                      <w:u w:val="none"/>
                    </w:rPr>
                    <w:br/>
                  </w:r>
                  <w:r>
                    <w:rPr>
                      <w:lang w:val="en-US"/>
                      <w:u w:val="none"/>
                    </w:rPr>
                    <w:br/>
                  </w:r>
                  <w:r>
                    <w:rPr>
                      <w:lang w:val="en-US"/>
                      <w:rFonts w:ascii="Georgia" w:hAnsi="Georgia" w:cs="Georgia"/>
                      <w:u w:val="none"/>
                      <w:sz w:val="24"/>
                      <w:szCs w:val="24"/>
                      <w:color w:val="000000"/>
                    </w:rPr>
                    <w:t>Advising an international automotive supplier on a potential dispute about warranty claims and the following settlement negotiations.</w:t>
                  </w:r>
                  <w:r>
                    <w:rPr>
                      <w:lang w:val="en-US"/>
                      <w:u w:val="none"/>
                    </w:rPr>
                    <w:br/>
                  </w:r>
                  <w:r>
                    <w:rPr>
                      <w:lang w:val="en-US"/>
                      <w:u w:val="none"/>
                    </w:rPr>
                    <w:br/>
                  </w:r>
                  <w:r>
                    <w:rPr>
                      <w:lang w:val="en-US"/>
                      <w:rFonts w:ascii="Georgia" w:hAnsi="Georgia" w:cs="Georgia"/>
                      <w:u w:val="none"/>
                      <w:sz w:val="24"/>
                      <w:szCs w:val="24"/>
                      <w:color w:val="000000"/>
                    </w:rPr>
                    <w:t>Advising a globally acting automotive supplier on the pan-European recall of trailer brake components.</w:t>
                  </w:r>
                  <w:r>
                    <w:rPr>
                      <w:lang w:val="en-US"/>
                      <w:u w:val="none"/>
                    </w:rPr>
                    <w:br/>
                  </w:r>
                  <w:r>
                    <w:rPr>
                      <w:lang w:val="en-US"/>
                      <w:u w:val="none"/>
                    </w:rPr>
                    <w:br/>
                  </w:r>
                  <w:r>
                    <w:rPr>
                      <w:lang w:val="en-US"/>
                      <w:rFonts w:ascii="Georgia" w:hAnsi="Georgia" w:cs="Georgia"/>
                      <w:u w:val="none"/>
                      <w:sz w:val="24"/>
                      <w:szCs w:val="24"/>
                      <w:color w:val="000000"/>
                    </w:rPr>
                    <w:t>Advising a globally acting car parts supplier on various types of commercial disputes, amongst others, supplier chain disputes, warranty issues or post M&amp;A disputes.</w:t>
                  </w:r>
                  <w:r>
                    <w:rPr>
                      <w:lang w:val="en-US"/>
                      <w:u w:val="none"/>
                    </w:rPr>
                    <w:br/>
                  </w:r>
                  <w:r>
                    <w:rPr>
                      <w:lang w:val="en-US"/>
                      <w:u w:val="none"/>
                    </w:rPr>
                    <w:br/>
                  </w:r>
                  <w:r>
                    <w:rPr>
                      <w:lang w:val="en-US"/>
                      <w:rFonts w:ascii="Georgia" w:hAnsi="Georgia" w:cs="Georgia"/>
                      <w:u w:val="none"/>
                      <w:sz w:val="24"/>
                      <w:szCs w:val="24"/>
                      <w:color w:val="000000"/>
                    </w:rPr>
                    <w:t>Representing a German leading OEM in supply chain disruption cases against suppliers in various European countries.</w:t>
                  </w:r>
                  <w:r>
                    <w:rPr>
                      <w:lang w:val="en-US"/>
                      <w:u w:val="none"/>
                    </w:rPr>
                    <w:br/>
                  </w:r>
                  <w:r>
                    <w:rPr>
                      <w:lang w:val="en-US"/>
                      <w:u w:val="none"/>
                    </w:rPr>
                    <w:br/>
                  </w:r>
                  <w:r>
                    <w:rPr>
                      <w:lang w:val="en-US"/>
                      <w:rFonts w:ascii="Georgia" w:hAnsi="Georgia" w:cs="Georgia"/>
                      <w:u w:val="none"/>
                      <w:sz w:val="24"/>
                      <w:szCs w:val="24"/>
                      <w:color w:val="000000"/>
                    </w:rPr>
                    <w:t>Representing the insolvency administrator of a globally acting semiconductor manufacturer regarding clawback claims in connection with the sale of a joint venture.</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Dispute Resolution: Litigation (Germany), </w:t>
                  </w:r>
                  <w:r>
                    <w:rPr>
                      <w:lang w:val="en-US"/>
                      <w:rFonts w:ascii="Georgia" w:hAnsi="Georgia" w:cs="Georgia"/>
                      <w:i/>
                      <w:u w:val="none"/>
                      <w:sz w:val="24"/>
                      <w:szCs w:val="24"/>
                      <w:color w:val="000000"/>
                    </w:rPr>
                    <w:t>Chambers Global</w:t>
                  </w:r>
                  <w:r>
                    <w:rPr>
                      <w:rFonts w:ascii="Georgia" w:hAnsi="Georgia" w:cs="Georgia"/>
                      <w:sz w:val="24"/>
                      <w:szCs w:val="24"/>
                    </w:rPr>
                    <w:t>, 2018-2019</w:t>
                  </w:r>
                </w:p>
              </w:tc>
            </w:tr>
            <w:tr>
              <w:tc>
                <w:tcPr>
                  <w:tcW w:w="5846.4" w:type="dxa"/>
                </w:tcPr>
                <w:p>
                  <w:pPr/>
                </w:p>
                <w:p>
                  <w:pPr>
                    <w:numPr>
                      <w:ilvl w:val="0"/>
                      <w:numId w:val="5"/>
                    </w:numPr>
                    <w:spacing w:after="0"/>
                  </w:pPr>
                  <w:r>
                    <w:rPr>
                      <w:rFonts w:ascii="Georgia" w:hAnsi="Georgia" w:cs="Georgia"/>
                      <w:sz w:val="24"/>
                      <w:szCs w:val="24"/>
                    </w:rPr>
                    <w:t xml:space="preserve">Dispute Resolution: Commercial Litigation, </w:t>
                  </w:r>
                  <w:r>
                    <w:rPr>
                      <w:lang w:val="en-US"/>
                      <w:rFonts w:ascii="Georgia" w:hAnsi="Georgia" w:cs="Georgia"/>
                      <w:i/>
                      <w:u w:val="none"/>
                      <w:sz w:val="24"/>
                      <w:szCs w:val="24"/>
                      <w:color w:val="000000"/>
                    </w:rPr>
                    <w:t>Legal 500 EMEA</w:t>
                  </w:r>
                  <w:r>
                    <w:rPr>
                      <w:rFonts w:ascii="Georgia" w:hAnsi="Georgia" w:cs="Georgia"/>
                      <w:sz w:val="24"/>
                      <w:szCs w:val="24"/>
                    </w:rPr>
                    <w:t>, 2018-2019</w:t>
                  </w:r>
                </w:p>
              </w:tc>
            </w:tr>
            <w:tr>
              <w:tc>
                <w:tcPr>
                  <w:tcW w:w="5846.4" w:type="dxa"/>
                </w:tcPr>
                <w:p>
                  <w:pPr/>
                </w:p>
                <w:p>
                  <w:pPr>
                    <w:numPr>
                      <w:ilvl w:val="0"/>
                      <w:numId w:val="6"/>
                    </w:numPr>
                    <w:spacing w:after="0"/>
                  </w:pPr>
                  <w:r>
                    <w:rPr>
                      <w:rFonts w:ascii="Georgia" w:hAnsi="Georgia" w:cs="Georgia"/>
                      <w:sz w:val="24"/>
                      <w:szCs w:val="24"/>
                    </w:rPr>
                    <w:t xml:space="preserve">Detlef Hass was included in the </w:t>
                  </w:r>
                  <w:r>
                    <w:rPr>
                      <w:lang w:val="en-US"/>
                      <w:rFonts w:ascii="Georgia" w:hAnsi="Georgia" w:cs="Georgia"/>
                      <w:i/>
                      <w:u w:val="none"/>
                      <w:sz w:val="24"/>
                      <w:szCs w:val="24"/>
                      <w:color w:val="000000"/>
                    </w:rPr>
                    <w:t>Best Lawyers</w:t>
                  </w:r>
                  <w:r>
                    <w:rPr>
                      <w:rFonts w:ascii="Georgia" w:hAnsi="Georgia" w:cs="Georgia"/>
                      <w:sz w:val="24"/>
                      <w:szCs w:val="24"/>
                    </w:rPr>
                    <w:t xml:space="preserve">™ 2019 edition in Germany for “Bet-the-Company Litigation”, </w:t>
                  </w:r>
                  <w:r>
                    <w:rPr>
                      <w:lang w:val="en-US"/>
                      <w:rFonts w:ascii="Georgia" w:hAnsi="Georgia" w:cs="Georgia"/>
                      <w:i/>
                      <w:u w:val="none"/>
                      <w:sz w:val="24"/>
                      <w:szCs w:val="24"/>
                      <w:color w:val="000000"/>
                    </w:rPr>
                    <w:t>Best Lawyers</w:t>
                  </w:r>
                  <w:r>
                    <w:rPr>
                      <w:rFonts w:ascii="Georgia" w:hAnsi="Georgia" w:cs="Georgia"/>
                      <w:sz w:val="24"/>
                      <w:szCs w:val="24"/>
                    </w:rPr>
                    <w:t>, 2019</w:t>
                  </w:r>
                </w:p>
              </w:tc>
            </w:tr>
            <w:tr>
              <w:tc>
                <w:tcPr>
                  <w:tcW w:w="5846.4" w:type="dxa"/>
                </w:tcPr>
                <w:p>
                  <w:pPr/>
                </w:p>
                <w:p>
                  <w:pPr>
                    <w:numPr>
                      <w:ilvl w:val="0"/>
                      <w:numId w:val="7"/>
                    </w:numPr>
                    <w:spacing w:after="0"/>
                  </w:pPr>
                  <w:r>
                    <w:rPr>
                      <w:rFonts w:ascii="Georgia" w:hAnsi="Georgia" w:cs="Georgia"/>
                      <w:sz w:val="24"/>
                      <w:szCs w:val="24"/>
                    </w:rPr>
                    <w:t xml:space="preserve">Frequently recommended lawyer for Commercial Litigation, </w:t>
                  </w:r>
                  <w:r>
                    <w:rPr>
                      <w:lang w:val="en-US"/>
                      <w:rFonts w:ascii="Georgia" w:hAnsi="Georgia" w:cs="Georgia"/>
                      <w:i/>
                      <w:u w:val="none"/>
                      <w:sz w:val="24"/>
                      <w:szCs w:val="24"/>
                      <w:color w:val="000000"/>
                    </w:rPr>
                    <w:t>JUVE handbook</w:t>
                  </w:r>
                  <w:r>
                    <w:rPr>
                      <w:rFonts w:ascii="Georgia" w:hAnsi="Georgia" w:cs="Georgia"/>
                      <w:sz w:val="24"/>
                      <w:szCs w:val="24"/>
                    </w:rPr>
                    <w:t>, 2018/2019</w:t>
                  </w:r>
                </w:p>
              </w:tc>
            </w:tr>
            <w:tr>
              <w:tc>
                <w:tcPr>
                  <w:tcW w:w="5846.4" w:type="dxa"/>
                </w:tcPr>
                <w:p>
                  <w:pPr/>
                </w:p>
                <w:p>
                  <w:pPr>
                    <w:numPr>
                      <w:ilvl w:val="0"/>
                      <w:numId w:val="8"/>
                    </w:numPr>
                    <w:spacing w:after="0"/>
                  </w:pPr>
                  <w:r>
                    <w:rPr>
                      <w:rFonts w:ascii="Georgia" w:hAnsi="Georgia" w:cs="Georgia"/>
                      <w:sz w:val="24"/>
                      <w:szCs w:val="24"/>
                    </w:rPr>
                    <w:t xml:space="preserve">Acritas Star, </w:t>
                  </w:r>
                  <w:r>
                    <w:rPr>
                      <w:lang w:val="en-US"/>
                      <w:rFonts w:ascii="Georgia" w:hAnsi="Georgia" w:cs="Georgia"/>
                      <w:i/>
                      <w:u w:val="none"/>
                      <w:sz w:val="24"/>
                      <w:szCs w:val="24"/>
                      <w:color w:val="000000"/>
                    </w:rPr>
                    <w:t>Acritas Stars Independently Rated Lawyers</w:t>
                  </w:r>
                  <w:r>
                    <w:rPr>
                      <w:rFonts w:ascii="Georgia" w:hAnsi="Georgia" w:cs="Georgia"/>
                      <w:sz w:val="24"/>
                      <w:szCs w:val="24"/>
                    </w:rPr>
                    <w:t>, 2018-2020</w:t>
                  </w:r>
                </w:p>
              </w:tc>
            </w:tr>
            <w:tr>
              <w:tc>
                <w:tcPr>
                  <w:tcW w:w="5846.4" w:type="dxa"/>
                </w:tcPr>
                <w:p>
                  <w:pPr/>
                </w:p>
                <w:p>
                  <w:pPr>
                    <w:numPr>
                      <w:ilvl w:val="0"/>
                      <w:numId w:val="9"/>
                    </w:numPr>
                    <w:spacing w:after="0"/>
                  </w:pPr>
                  <w:r>
                    <w:rPr>
                      <w:rFonts w:ascii="Georgia" w:hAnsi="Georgia" w:cs="Georgia"/>
                      <w:sz w:val="24"/>
                      <w:szCs w:val="24"/>
                    </w:rPr>
                    <w:t xml:space="preserve">Detlef Hass is ranked as one of the most highly regarded lawyers for Litigation in Germany, </w:t>
                  </w:r>
                  <w:r>
                    <w:rPr>
                      <w:lang w:val="en-US"/>
                      <w:rFonts w:ascii="Georgia" w:hAnsi="Georgia" w:cs="Georgia"/>
                      <w:i/>
                      <w:u w:val="none"/>
                      <w:sz w:val="24"/>
                      <w:szCs w:val="24"/>
                      <w:color w:val="000000"/>
                    </w:rPr>
                    <w:t>Who's who legal Germany: Litigation</w:t>
                  </w:r>
                  <w:r>
                    <w:rPr>
                      <w:rFonts w:ascii="Georgia" w:hAnsi="Georgia" w:cs="Georgia"/>
                      <w:sz w:val="24"/>
                      <w:szCs w:val="24"/>
                    </w:rPr>
                    <w:t>, 2018</w:t>
                  </w:r>
                </w:p>
              </w:tc>
            </w:tr>
            <w:tr>
              <w:tc>
                <w:tcPr>
                  <w:tcW w:w="5846.4" w:type="dxa"/>
                </w:tcPr>
                <w:p>
                  <w:pPr/>
                </w:p>
                <w:p>
                  <w:pPr>
                    <w:numPr>
                      <w:ilvl w:val="0"/>
                      <w:numId w:val="10"/>
                    </w:numPr>
                    <w:spacing w:after="0"/>
                  </w:pPr>
                  <w:r>
                    <w:rPr>
                      <w:rFonts w:ascii="Georgia" w:hAnsi="Georgia" w:cs="Georgia"/>
                      <w:sz w:val="24"/>
                      <w:szCs w:val="24"/>
                    </w:rPr>
                    <w:t xml:space="preserve">Detlef Hass was included in the 2019 </w:t>
                  </w:r>
                  <w:r>
                    <w:rPr>
                      <w:lang w:val="en-US"/>
                      <w:rFonts w:ascii="Georgia" w:hAnsi="Georgia" w:cs="Georgia"/>
                      <w:i/>
                      <w:u w:val="none"/>
                      <w:sz w:val="24"/>
                      <w:szCs w:val="24"/>
                      <w:color w:val="000000"/>
                    </w:rPr>
                    <w:t>Best Lawyers</w:t>
                  </w:r>
                  <w:r>
                    <w:rPr>
                      <w:rFonts w:ascii="Georgia" w:hAnsi="Georgia" w:cs="Georgia"/>
                      <w:sz w:val="24"/>
                      <w:szCs w:val="24"/>
                    </w:rPr>
                    <w:t xml:space="preserve">™ 2019 edition in Germany for Litigation, </w:t>
                  </w:r>
                  <w:r>
                    <w:rPr>
                      <w:lang w:val="en-US"/>
                      <w:rFonts w:ascii="Georgia" w:hAnsi="Georgia" w:cs="Georgia"/>
                      <w:i/>
                      <w:u w:val="none"/>
                      <w:sz w:val="24"/>
                      <w:szCs w:val="24"/>
                      <w:color w:val="000000"/>
                    </w:rPr>
                    <w:t>Best Lawyers</w:t>
                  </w:r>
                  <w:r>
                    <w:rPr>
                      <w:rFonts w:ascii="Georgia" w:hAnsi="Georgia" w:cs="Georgia"/>
                      <w:sz w:val="24"/>
                      <w:szCs w:val="24"/>
                    </w:rPr>
                    <w:t>, 2019</w:t>
                  </w:r>
                </w:p>
              </w:tc>
            </w:tr>
            <w:tr>
              <w:tc>
                <w:tcPr>
                  <w:tcW w:w="5846.4" w:type="dxa"/>
                </w:tcPr>
                <w:p>
                  <w:pPr/>
                </w:p>
                <w:p>
                  <w:pPr>
                    <w:numPr>
                      <w:ilvl w:val="0"/>
                      <w:numId w:val="11"/>
                    </w:numPr>
                    <w:spacing w:after="0"/>
                  </w:pPr>
                  <w:r>
                    <w:rPr>
                      <w:rFonts w:ascii="Georgia" w:hAnsi="Georgia" w:cs="Georgia"/>
                      <w:sz w:val="24"/>
                      <w:szCs w:val="24"/>
                    </w:rPr>
                    <w:t xml:space="preserve">Recommended lawyer for commercial litigation and valued as "convincing and competent, </w:t>
                  </w:r>
                  <w:r>
                    <w:rPr>
                      <w:lang w:val="en-US"/>
                      <w:rFonts w:ascii="Georgia" w:hAnsi="Georgia" w:cs="Georgia"/>
                      <w:i/>
                      <w:u w:val="none"/>
                      <w:sz w:val="24"/>
                      <w:szCs w:val="24"/>
                      <w:color w:val="000000"/>
                    </w:rPr>
                    <w:t>Legal500 Germany</w:t>
                  </w:r>
                  <w:r>
                    <w:rPr>
                      <w:rFonts w:ascii="Georgia" w:hAnsi="Georgia" w:cs="Georgia"/>
                      <w:sz w:val="24"/>
                      <w:szCs w:val="24"/>
                    </w:rPr>
                    <w:t>, 2017</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JUVE Awards 2024: Hogan Lovells is Law Firm of the Year for Banking and Finance Law and Law Firm of the Year for Corporate Energy</w:t>
                  </w:r>
                  <w:r>
                    <w:rPr>
                      <w:rFonts w:ascii="Georgia" w:hAnsi="Georgia" w:cs="Georgia"/>
                      <w:sz w:val="20"/>
                      <w:szCs w:val="20"/>
                    </w:rPr>
                    <w:br/>
                  </w:r>
                  <w:r>
                    <w:rPr>
                      <w:rFonts w:ascii="Georgia" w:hAnsi="Georgia" w:cs="Georgia"/>
                      <w:sz w:val="20"/>
                      <w:szCs w:val="20"/>
                    </w:rPr>
                    <w:t>25 October 2024</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European Parliament adopts CS3D: New ESG litigation risks in the supply chain</w:t>
                  </w:r>
                  <w:r>
                    <w:rPr>
                      <w:rFonts w:ascii="Georgia" w:hAnsi="Georgia" w:cs="Georgia"/>
                      <w:sz w:val="20"/>
                      <w:szCs w:val="20"/>
                    </w:rPr>
                    <w:br/>
                  </w:r>
                  <w:r>
                    <w:rPr>
                      <w:rFonts w:ascii="Georgia" w:hAnsi="Georgia" w:cs="Georgia"/>
                      <w:sz w:val="20"/>
                      <w:szCs w:val="20"/>
                    </w:rPr>
                    <w:t>30 April 2024</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European Parliament adopts CS3D: New ESG litigation risks in the supply chain</w:t>
                  </w:r>
                  <w:r>
                    <w:rPr>
                      <w:rFonts w:ascii="Georgia" w:hAnsi="Georgia" w:cs="Georgia"/>
                      <w:sz w:val="20"/>
                      <w:szCs w:val="20"/>
                    </w:rPr>
                    <w:br/>
                  </w:r>
                  <w:r>
                    <w:rPr>
                      <w:rFonts w:ascii="Georgia" w:hAnsi="Georgia" w:cs="Georgia"/>
                      <w:sz w:val="20"/>
                      <w:szCs w:val="20"/>
                    </w:rPr>
                    <w:t>30 April 2024</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PTC on the acquisition of pure-systems</w:t>
                  </w:r>
                  <w:r>
                    <w:rPr>
                      <w:rFonts w:ascii="Georgia" w:hAnsi="Georgia" w:cs="Georgia"/>
                      <w:sz w:val="20"/>
                      <w:szCs w:val="20"/>
                    </w:rPr>
                    <w:br/>
                  </w:r>
                  <w:r>
                    <w:rPr>
                      <w:rFonts w:ascii="Georgia" w:hAnsi="Georgia" w:cs="Georgia"/>
                      <w:sz w:val="20"/>
                      <w:szCs w:val="20"/>
                    </w:rPr>
                    <w:t>09 October 2023</w:t>
                  </w:r>
                </w:p>
              </w:tc>
            </w:tr>
            <w:tr>
              <w:tc>
                <w:tcPr>
                  <w:tcW w:w="5846.4" w:type="dxa"/>
                </w:tcPr>
                <w:p>
                  <w:pPr>
                    <w:spacing w:after="220"/>
                  </w:pPr>
                  <w:r>
                    <w:rPr>
                      <w:lang w:val="en-US"/>
                      <w:rFonts w:ascii="Georgia" w:hAnsi="Georgia" w:cs="Georgia"/>
                      <w:u w:val="none"/>
                      <w:sz w:val="24"/>
                      <w:szCs w:val="24"/>
                      <w:color w:val="58A618"/>
                    </w:rPr>
                    <w:t>Hogan Lovells Publications</w:t>
                  </w:r>
                  <w:r>
                    <w:rPr>
                      <w:rFonts w:ascii="Georgia" w:hAnsi="Georgia" w:cs="Georgia"/>
                      <w:sz w:val="24"/>
                      <w:szCs w:val="24"/>
                    </w:rPr>
                    <w:br/>
                  </w:r>
                  <w:r>
                    <w:rPr>
                      <w:rFonts w:ascii="Georgia" w:hAnsi="Georgia" w:cs="Georgia"/>
                      <w:sz w:val="24"/>
                      <w:szCs w:val="24"/>
                    </w:rPr>
                    <w:t>Guide on Internal Investigations in Germany 2023</w:t>
                  </w:r>
                  <w:r>
                    <w:rPr>
                      <w:rFonts w:ascii="Georgia" w:hAnsi="Georgia" w:cs="Georgia"/>
                      <w:sz w:val="20"/>
                      <w:szCs w:val="20"/>
                    </w:rPr>
                    <w:br/>
                  </w:r>
                  <w:r>
                    <w:rPr>
                      <w:rFonts w:ascii="Georgia" w:hAnsi="Georgia" w:cs="Georgia"/>
                      <w:sz w:val="20"/>
                      <w:szCs w:val="20"/>
                    </w:rPr>
                    <w:t>July 2023</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Getting The Deal Through: Automotive and Mobility 2023</w:t>
                  </w:r>
                  <w:r>
                    <w:rPr>
                      <w:rFonts w:ascii="Georgia" w:hAnsi="Georgia" w:cs="Georgia"/>
                      <w:sz w:val="20"/>
                      <w:szCs w:val="20"/>
                    </w:rPr>
                    <w:br/>
                  </w:r>
                  <w:r>
                    <w:rPr>
                      <w:rFonts w:ascii="Georgia" w:hAnsi="Georgia" w:cs="Georgia"/>
                      <w:sz w:val="20"/>
                      <w:szCs w:val="20"/>
                    </w:rPr>
                    <w:t>13 June 2023</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7b13c17e704d94"/>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+49 89 290 12 215</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+49 89 290 12 222</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77311e28901b4bc6" w:history="1">
                    <w:r>
                      <w:rPr>
                        <w:rStyle w:val="Hyperlink"/>
                        <w:rFonts w:ascii="Georgia" w:hAnsi="Georgia" w:cs="Georgia"/>
                        <w:sz w:val="22"/>
                        <w:szCs w:val="22"/>
                        <w:u w:val="none"/>
                      </w:rPr>
                      <w:t>detlef.hass@hoganlovells.com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German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13f9762e5efa4e84" w:history="1">
                    <w:r>
                      <w:rPr>
                        <w:rStyle w:val="Hyperlink"/>
                        <w:rFonts w:ascii="Georgia" w:hAnsi="Georgia" w:cs="Georgia"/>
                        <w:sz w:val="24"/>
                        <w:szCs w:val="24"/>
                      </w:rPr>
                      <w:t>Investigations, White Collar, and Fraud</w:t>
                    </w:r>
                  </w:hyperlink>
                </w:p>
              </w:tc>
            </w:tr>
            <w:tr>
              <w:tc>
                <w:tcPr>
                  <w:tcW w:w="3686.4" w:type="dxa"/>
                </w:tcPr>
                <w:p>
                  <w:pPr>
                    <w:spacing w:after="220"/>
                  </w:pPr>
                  <w:hyperlink r:id="Ra4b46fed890f44d5" w:history="1">
                    <w:r>
                      <w:rPr>
                        <w:rStyle w:val="Hyperlink"/>
                        <w:rFonts w:ascii="Georgia" w:hAnsi="Georgia" w:cs="Georgia"/>
                        <w:sz w:val="24"/>
                        <w:szCs w:val="24"/>
                      </w:rPr>
                      <w:t>Litigation Services</w:t>
                    </w:r>
                  </w:hyperlink>
                </w:p>
              </w:tc>
            </w:tr>
            <w:tr>
              <w:tc>
                <w:tcPr>
                  <w:tcW w:w="3686.4" w:type="dxa"/>
                </w:tcPr>
                <w:p>
                  <w:pPr>
                    <w:spacing w:after="220"/>
                  </w:pPr>
                  <w:hyperlink r:id="R9eb9d89ab757429d" w:history="1">
                    <w:r>
                      <w:rPr>
                        <w:rStyle w:val="Hyperlink"/>
                        <w:rFonts w:ascii="Georgia" w:hAnsi="Georgia" w:cs="Georgia"/>
                        <w:sz w:val="24"/>
                        <w:szCs w:val="24"/>
                      </w:rPr>
                      <w:t>Commercial Litigation</w:t>
                    </w:r>
                  </w:hyperlink>
                </w:p>
              </w:tc>
            </w:tr>
            <w:tr>
              <w:tc>
                <w:tcPr>
                  <w:tcW w:w="3686.4" w:type="dxa"/>
                </w:tcPr>
                <w:p>
                  <w:pPr>
                    <w:spacing w:after="220"/>
                  </w:pPr>
                  <w:hyperlink r:id="R80b48210d951428d" w:history="1">
                    <w:r>
                      <w:rPr>
                        <w:rStyle w:val="Hyperlink"/>
                        <w:rFonts w:ascii="Georgia" w:hAnsi="Georgia" w:cs="Georgia"/>
                        <w:sz w:val="24"/>
                        <w:szCs w:val="24"/>
                      </w:rPr>
                      <w:t>Technology Litigation</w:t>
                    </w:r>
                  </w:hyperlink>
                </w:p>
              </w:tc>
            </w:tr>
            <w:tr>
              <w:tc>
                <w:tcPr>
                  <w:tcW w:w="3686.4" w:type="dxa"/>
                </w:tcPr>
                <w:p>
                  <w:pPr>
                    <w:spacing w:after="220"/>
                  </w:pPr>
                  <w:hyperlink r:id="R70cafc704923490e" w:history="1">
                    <w:r>
                      <w:rPr>
                        <w:rStyle w:val="Hyperlink"/>
                        <w:rFonts w:ascii="Georgia" w:hAnsi="Georgia" w:cs="Georgia"/>
                        <w:sz w:val="24"/>
                        <w:szCs w:val="24"/>
                      </w:rPr>
                      <w:t>Insolvency Litigation</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47f7d16d34494564" w:history="1">
                    <w:r>
                      <w:rPr>
                        <w:rStyle w:val="Hyperlink"/>
                        <w:rFonts w:ascii="Georgia" w:hAnsi="Georgia" w:cs="Georgia"/>
                        <w:sz w:val="24"/>
                        <w:szCs w:val="24"/>
                      </w:rPr>
                      <w:t>Automotive and Mobility</w:t>
                    </w:r>
                  </w:hyperlink>
                </w:p>
              </w:tc>
            </w:tr>
            <w:tr>
              <w:tc>
                <w:tcPr>
                  <w:tcW w:w="3686.4" w:type="dxa"/>
                </w:tcPr>
                <w:p>
                  <w:pPr>
                    <w:spacing w:after="220"/>
                  </w:pPr>
                  <w:hyperlink r:id="R10a0d7ba48f64dfb" w:history="1">
                    <w:r>
                      <w:rPr>
                        <w:rStyle w:val="Hyperlink"/>
                        <w:rFonts w:ascii="Georgia" w:hAnsi="Georgia" w:cs="Georgia"/>
                        <w:sz w:val="24"/>
                        <w:szCs w:val="24"/>
                      </w:rPr>
                      <w:t>Technology</w:t>
                    </w:r>
                  </w:hyperlink>
                </w:p>
              </w:tc>
            </w:tr>
            <w:tr>
              <w:tc>
                <w:tcPr>
                  <w:tcW w:w="3686.4" w:type="dxa"/>
                </w:tcPr>
                <w:p>
                  <w:pPr>
                    <w:spacing w:after="220"/>
                  </w:pPr>
                  <w:hyperlink r:id="R209b362551e54398" w:history="1">
                    <w:r>
                      <w:rPr>
                        <w:rStyle w:val="Hyperlink"/>
                        <w:rFonts w:ascii="Georgia" w:hAnsi="Georgia" w:cs="Georgia"/>
                        <w:sz w:val="24"/>
                        <w:szCs w:val="24"/>
                      </w:rPr>
                      <w:t>Manufacturing and Industrials</w:t>
                    </w:r>
                  </w:hyperlink>
                </w:p>
              </w:tc>
            </w:tr>
            <w:tr>
              <w:tc>
                <w:tcPr>
                  <w:tcW w:w="3686.4" w:type="dxa"/>
                </w:tcPr>
                <w:p>
                  <w:pPr>
                    <w:spacing w:after="220"/>
                  </w:pPr>
                  <w:hyperlink r:id="R3d56994866f64a4b" w:history="1">
                    <w:r>
                      <w:rPr>
                        <w:rStyle w:val="Hyperlink"/>
                        <w:rFonts w:ascii="Georgia" w:hAnsi="Georgia" w:cs="Georgia"/>
                        <w:sz w:val="24"/>
                        <w:szCs w:val="24"/>
                      </w:rPr>
                      <w:t>Transportation and Logistics</w:t>
                    </w:r>
                  </w:hyperlink>
                </w:p>
              </w:tc>
            </w:tr>
            <w:tr>
              <w:tc>
                <w:tcPr>
                  <w:tcW w:w="3686.4" w:type="dxa"/>
                </w:tcPr>
                <w:p>
                  <w:pPr>
                    <w:spacing w:after="220"/>
                  </w:pPr>
                  <w:hyperlink r:id="R0eae234406cf42dc" w:history="1">
                    <w:r>
                      <w:rPr>
                        <w:rStyle w:val="Hyperlink"/>
                        <w:rFonts w:ascii="Georgia" w:hAnsi="Georgia" w:cs="Georgia"/>
                        <w:sz w:val="24"/>
                        <w:szCs w:val="24"/>
                      </w:rPr>
                      <w:t>Consumer</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0a97ef15d3074a7a" w:history="1">
                    <w:r>
                      <w:rPr>
                        <w:rStyle w:val="Hyperlink"/>
                        <w:rFonts w:ascii="Georgia" w:hAnsi="Georgia" w:cs="Georgia"/>
                        <w:sz w:val="24"/>
                        <w:szCs w:val="24"/>
                      </w:rPr>
                      <w:t>Alternative Dispute Resolution</w:t>
                    </w:r>
                  </w:hyperlink>
                </w:p>
              </w:tc>
            </w:tr>
            <w:tr>
              <w:tc>
                <w:tcPr>
                  <w:tcW w:w="3686.4" w:type="dxa"/>
                </w:tcPr>
                <w:p>
                  <w:pPr>
                    <w:spacing w:after="220"/>
                  </w:pPr>
                  <w:hyperlink r:id="Reaee37e02c82476a" w:history="1">
                    <w:r>
                      <w:rPr>
                        <w:rStyle w:val="Hyperlink"/>
                        <w:rFonts w:ascii="Georgia" w:hAnsi="Georgia" w:cs="Georgia"/>
                        <w:sz w:val="24"/>
                        <w:szCs w:val="24"/>
                      </w:rPr>
                      <w:t>Financial Crime</w:t>
                    </w:r>
                  </w:hyperlink>
                </w:p>
              </w:tc>
            </w:tr>
            <w:tr>
              <w:tc>
                <w:tcPr>
                  <w:tcW w:w="3686.4" w:type="dxa"/>
                </w:tcPr>
                <w:p>
                  <w:pPr>
                    <w:spacing w:after="220"/>
                  </w:pPr>
                  <w:hyperlink r:id="R8da78b36d8e24a87" w:history="1">
                    <w:r>
                      <w:rPr>
                        <w:rStyle w:val="Hyperlink"/>
                        <w:rFonts w:ascii="Georgia" w:hAnsi="Georgia" w:cs="Georgia"/>
                        <w:sz w:val="24"/>
                        <w:szCs w:val="24"/>
                      </w:rPr>
                      <w:t>Antitrust and Competition Litigation</w:t>
                    </w:r>
                  </w:hyperlink>
                </w:p>
              </w:tc>
            </w:tr>
            <w:tr>
              <w:tc>
                <w:tcPr>
                  <w:tcW w:w="3686.4" w:type="dxa"/>
                </w:tcPr>
                <w:p>
                  <w:pPr>
                    <w:spacing w:after="220"/>
                  </w:pPr>
                  <w:hyperlink r:id="R0a97ef15d3074a7a" w:history="1">
                    <w:r>
                      <w:rPr>
                        <w:rStyle w:val="Hyperlink"/>
                        <w:rFonts w:ascii="Georgia" w:hAnsi="Georgia" w:cs="Georgia"/>
                        <w:sz w:val="24"/>
                        <w:szCs w:val="24"/>
                      </w:rPr>
                      <w:t>Global Class and Collective Actions</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University of Regensburg</w:t>
                  </w:r>
                </w:p>
              </w:tc>
            </w:tr>
            <w:tr>
              <w:tc>
                <w:tcPr>
                  <w:tcW w:w="3686.4" w:type="dxa"/>
                </w:tcPr>
                <w:p>
                  <w:pPr>
                    <w:spacing w:after="220"/>
                  </w:pPr>
                  <w:r>
                    <w:rPr>
                      <w:lang w:val="en-US"/>
                      <w:rFonts w:ascii="Georgia" w:hAnsi="Georgia" w:cs="Georgia"/>
                      <w:u w:val="none"/>
                      <w:sz w:val="24"/>
                      <w:szCs w:val="24"/>
                      <w:color w:val="000000"/>
                    </w:rPr>
                    <w:t>University of Bonn</w:t>
                  </w:r>
                </w:p>
              </w:tc>
            </w:tr>
            <w:tr>
              <w:tc>
                <w:tcPr>
                  <w:tcW w:w="3686.4" w:type="dxa"/>
                </w:tcPr>
                <w:p>
                  <w:pPr>
                    <w:spacing w:after="220"/>
                  </w:pPr>
                  <w:r>
                    <w:rPr>
                      <w:lang w:val="en-US"/>
                      <w:rFonts w:ascii="Georgia" w:hAnsi="Georgia" w:cs="Georgia"/>
                      <w:u w:val="none"/>
                      <w:sz w:val="24"/>
                      <w:szCs w:val="24"/>
                      <w:color w:val="000000"/>
                    </w:rPr>
                    <w:t>LMU Munich (Ludwig-Maximilians-Universität München)</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7_Memberships"/>
            </w:tblPr>
            <w:tblGrid>
              <w:gridCol w:w="3684"/>
            </w:tblGrid>
            <w:tr w:rsidR="004A1494" w:rsidTr="003A43D4">
              <w:tc>
                <w:tcPr>
                  <w:tcW w:w="3684" w:type="dxa"/>
                </w:tcPr>
                <w:p w:rsidR="004A1494" w:rsidRPr="00F90870" w:rsidRDefault="004A1494">
                  <w:pPr>
                    <w:rPr>
                      <w:sz w:val="44"/>
                      <w:szCs w:val="44"/>
                    </w:rPr>
                  </w:pPr>
                  <w:r>
                    <w:rPr>
                      <w:lang w:val="en-US"/>
                      <w:rFonts w:ascii="Calibri" w:hAnsi="Calibri" w:cs="Calibri"/>
                      <w:u w:val="none"/>
                      <w:sz w:val="40"/>
                      <w:szCs w:val="40"/>
                      <w:color w:val="58A618"/>
                    </w:rPr>
                    <w:t>Memberships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8_MembershipsList"/>
            </w:tblPr>
            <w:tblGrid>
              <w:gridCol w:w="3684"/>
            </w:tblGrid>
            <w:tr>
              <w:tc>
                <w:tcPr>
                  <w:tcW w:w="3686.4" w:type="dxa"/>
                </w:tcPr>
                <w:p>
                  <w:pPr>
                    <w:spacing w:after="220"/>
                  </w:pPr>
                  <w:r>
                    <w:rPr>
                      <w:lang w:val="en-US"/>
                      <w:rFonts w:ascii="Georgia" w:hAnsi="Georgia" w:cs="Georgia"/>
                      <w:u w:val="none"/>
                      <w:sz w:val="24"/>
                      <w:szCs w:val="24"/>
                      <w:color w:val="000000"/>
                    </w:rPr>
                    <w:t>INSOL</w:t>
                  </w:r>
                </w:p>
              </w:tc>
            </w:tr>
            <w:tr>
              <w:tc>
                <w:tcPr>
                  <w:tcW w:w="3686.4" w:type="dxa"/>
                </w:tcPr>
                <w:p>
                  <w:pPr>
                    <w:spacing w:after="220"/>
                  </w:pPr>
                  <w:r>
                    <w:rPr>
                      <w:lang w:val="en-US"/>
                      <w:rFonts w:ascii="Georgia" w:hAnsi="Georgia" w:cs="Georgia"/>
                      <w:u w:val="none"/>
                      <w:sz w:val="24"/>
                      <w:szCs w:val="24"/>
                      <w:color w:val="000000"/>
                    </w:rPr>
                    <w:t>DAV</w:t>
                  </w:r>
                </w:p>
              </w:tc>
            </w:tr>
          </w:tbl>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9_border7"/>
            </w:tblPr>
            <w:tblGrid>
              <w:gridCol w:w="3684"/>
            </w:tblGrid>
            <w:tr w:rsidR="00BF719B" w:rsidRPr="00BF719B" w:rsidTr="00FE240B">
              <w:trPr>
                <w:trHeight w:val="158"/>
              </w:trPr>
              <w:tc>
                <w:tcPr>
                  <w:tcW w:w="3684" w:type="dxa"/>
                </w:tcPr>
                <w:p w:rsidR="00BF719B" w:rsidRPr="00D932FF" w:rsidRDefault="00BF719B">
                  <w:pPr>
                    <w:rPr>
                      <w:sz w:val="16"/>
                      <w:szCs w:val="16"/>
                    </w:rPr>
                  </w:pPr>
                  <w:r w:rsidRPr="00D932FF">
                    <w:rPr>
                      <w:noProof/>
                      <w:color w:val="E7E6E6" w:themeColor="background2"/>
                      <w:sz w:val="16"/>
                      <w:szCs w:val="16"/>
                    </w:rPr>
                    <mc:AlternateContent>
                      <mc:Choice Requires="wps">
                        <w:drawing>
                          <wp:anchor distT="0" distB="0" distL="114300" distR="114300" simplePos="0" relativeHeight="251693056" behindDoc="0" locked="0" layoutInCell="1" allowOverlap="1" wp14:anchorId="073BD4AC" wp14:editId="1D5A7BB7">
                            <wp:simplePos x="0" y="0"/>
                            <wp:positionH relativeFrom="column">
                              <wp:posOffset>-12700</wp:posOffset>
                            </wp:positionH>
                            <wp:positionV relativeFrom="paragraph">
                              <wp:posOffset>69215</wp:posOffset>
                            </wp:positionV>
                            <wp:extent cx="2228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EB12"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5.45pt" to="17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" strokecolor="#ccc" strokeweight="1.5pt">
                            <v:stroke joinstyle="miter"/>
                          </v:line>
                        </w:pict>
                      </mc:Fallback>
                    </mc:AlternateContent>
                  </w:r>
                </w:p>
              </w:tc>
            </w:tr>
          </w:tbl>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3_Court admissions"/>
            </w:tblPr>
            <w:tblGrid>
              <w:gridCol w:w="3684"/>
            </w:tblGrid>
            <w:tr w:rsidR="0079721B" w:rsidTr="003A43D4">
              <w:trPr>
                <w:trHeight w:val="413"/>
              </w:trPr>
              <w:tc>
                <w:tcPr>
                  <w:tcW w:w="3684" w:type="dxa"/>
                </w:tcPr>
                <w:p w:rsidR="0079721B" w:rsidRPr="00F90870" w:rsidRDefault="0079721B" w:rsidP="0079721B">
                  <w:pPr>
                    <w:rPr>
                      <w:sz w:val="44"/>
                      <w:szCs w:val="44"/>
                    </w:rPr>
                  </w:pPr>
                  <w:r>
                    <w:rPr>
                      <w:lang w:val="en-US"/>
                      <w:rFonts w:ascii="Calibri" w:hAnsi="Calibri" w:cs="Calibri"/>
                      <w:u w:val="none"/>
                      <w:sz w:val="40"/>
                      <w:szCs w:val="40"/>
                      <w:color w:val="58A618"/>
                    </w:rPr>
                    <w:t>Court admissions</w:t>
                  </w:r>
                </w:p>
              </w:tc>
            </w:tr>
          </w:tbl>
          <w:p w:rsidR="004A1494" w:rsidRPr="001A7332"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4_CourtadmissionsList"/>
            </w:tblPr>
            <w:tblGrid>
              <w:gridCol w:w="3684"/>
            </w:tblGrid>
            <w:tr>
              <w:tc>
                <w:tcPr>
                  <w:tcW w:w="3686.4" w:type="dxa"/>
                </w:tcPr>
                <w:p>
                  <w:pPr>
                    <w:spacing w:after="220"/>
                  </w:pPr>
                  <w:r>
                    <w:rPr>
                      <w:lang w:val="en-US"/>
                      <w:rFonts w:ascii="Georgia" w:hAnsi="Georgia" w:cs="Georgia"/>
                      <w:u w:val="none"/>
                      <w:sz w:val="24"/>
                      <w:szCs w:val="24"/>
                      <w:color w:val="000000"/>
                    </w:rPr>
                    <w:t>England and Wales</w:t>
                  </w:r>
                </w:p>
              </w:tc>
            </w:tr>
            <w:tr>
              <w:tc>
                <w:tcPr>
                  <w:tcW w:w="3686.4" w:type="dxa"/>
                </w:tcPr>
                <w:p>
                  <w:pPr>
                    <w:spacing w:after="220"/>
                  </w:pPr>
                  <w:r>
                    <w:rPr>
                      <w:lang w:val="en-US"/>
                      <w:rFonts w:ascii="Georgia" w:hAnsi="Georgia" w:cs="Georgia"/>
                      <w:u w:val="none"/>
                      <w:sz w:val="24"/>
                      <w:szCs w:val="24"/>
                      <w:color w:val="000000"/>
                    </w:rPr>
                    <w:t>Germany</w:t>
                  </w:r>
                </w:p>
              </w:tc>
            </w:tr>
          </w:tbl>
          <w:p w:rsidR="00BF719B"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5_border9"/>
            </w:tblPr>
            <w:tblGrid>
              <w:gridCol w:w="3684"/>
            </w:tblGrid>
            <w:tr w:rsidR="00BF719B" w:rsidRPr="00B412BC" w:rsidTr="00FE240B">
              <w:trPr>
                <w:trHeight w:val="158"/>
              </w:trPr>
              <w:tc>
                <w:tcPr>
                  <w:tcW w:w="3684" w:type="dxa"/>
                </w:tcPr>
                <w:p w:rsidR="00BF719B" w:rsidRPr="00B412BC" w:rsidRDefault="00BF719B">
                  <w:pPr>
                    <w:rPr>
                      <w:sz w:val="16"/>
                      <w:szCs w:val="16"/>
                    </w:rPr>
                  </w:pPr>
                  <w:r w:rsidRPr="00B412BC">
                    <w:rPr>
                      <w:noProof/>
                      <w:color w:val="E7E6E6" w:themeColor="background2"/>
                      <w:sz w:val="16"/>
                      <w:szCs w:val="16"/>
                    </w:rPr>
                    <mc:AlternateContent>
                      <mc:Choice Requires="wps">
                        <w:drawing>
                          <wp:anchor distT="0" distB="0" distL="114300" distR="114300" simplePos="0" relativeHeight="251695104" behindDoc="0" locked="0" layoutInCell="1" allowOverlap="1" wp14:anchorId="122A7B53" wp14:editId="02C9E178">
                            <wp:simplePos x="0" y="0"/>
                            <wp:positionH relativeFrom="column">
                              <wp:posOffset>-12700</wp:posOffset>
                            </wp:positionH>
                            <wp:positionV relativeFrom="paragraph">
                              <wp:posOffset>77470</wp:posOffset>
                            </wp:positionV>
                            <wp:extent cx="2238375" cy="0"/>
                            <wp:effectExtent l="0" t="0" r="28575" b="19050"/>
                            <wp:wrapNone/>
                            <wp:docPr id="14" name="Straight Connector 14"/>
                            <wp:cNvGraphicFramePr/>
                            <a:graphic xmlns:a="http://schemas.openxmlformats.org/drawingml/2006/main">
                              <a:graphicData uri="http://schemas.microsoft.com/office/word/2010/wordprocessingShape">
                                <wps:wsp>
                                  <wps:cNvCnPr/>
                                  <wps:spPr>
                                    <a:xfrm>
                                      <a:off x="0" y="0"/>
                                      <a:ext cx="22383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78B2609" id="Straight Connector 1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6.1pt" to="175.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" strokecolor="#ccc" strokeweight="1.5pt">
                            <v:stroke joinstyle="miter"/>
                          </v:line>
                        </w:pict>
                      </mc:Fallback>
                    </mc:AlternateContent>
                  </w:r>
                </w:p>
              </w:tc>
            </w:tr>
          </w:tbl>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"always recognises the key points"</w:t>
                  </w:r>
                </w:p>
                <w:p>
                  <w:pPr>
                    <w:jc w:val="right"/>
                    <w:spacing w:after="300"/>
                  </w:pPr>
                  <w:r>
                    <w:rPr>
                      <w:lang w:val="en-US"/>
                      <w:u w:val="none"/>
                      <w:i/>
                      <w:rFonts w:ascii="Georgia" w:hAnsi="Georgia" w:cs="Georgia"/>
                      <w:sz w:val="24"/>
                      <w:szCs w:val="24"/>
                    </w:rPr>
                    <w:t>competitor - JUVE handbook, 2017/2018</w:t>
                  </w:r>
                </w:p>
              </w:tc>
            </w:tr>
            <w:tr>
              <w:tc>
                <w:tcPr>
                  <w:tcW w:w="3686.4" w:type="dxa"/>
                </w:tcPr>
                <w:p>
                  <w:pPr>
                    <w:spacing w:after="120"/>
                  </w:pPr>
                  <w:r>
                    <w:rPr>
                      <w:lang w:val="en-US"/>
                      <w:rFonts w:ascii="Georgia" w:hAnsi="Georgia" w:cs="Georgia"/>
                      <w:u w:val="none"/>
                      <w:sz w:val="24"/>
                      <w:szCs w:val="24"/>
                      <w:color w:val="000000"/>
                    </w:rPr>
                    <w:t>"Clients mandate Detlef Hass for his experience in handling distribution disputes across the automotive and financial services sectors. He also assists with antitrust litigation."</w:t>
                  </w:r>
                </w:p>
                <w:p>
                  <w:pPr>
                    <w:jc w:val="right"/>
                    <w:spacing w:after="300"/>
                  </w:pPr>
                  <w:r>
                    <w:rPr>
                      <w:lang w:val="en-US"/>
                      <w:u w:val="none"/>
                      <w:i/>
                      <w:rFonts w:ascii="Georgia" w:hAnsi="Georgia" w:cs="Georgia"/>
                      <w:sz w:val="24"/>
                      <w:szCs w:val="24"/>
                    </w:rPr>
                    <w:t>Chambers Europe 2023</w:t>
                  </w:r>
                </w:p>
              </w:tc>
            </w:tr>
            <w:tr>
              <w:tc>
                <w:tcPr>
                  <w:tcW w:w="3686.4" w:type="dxa"/>
                </w:tcPr>
                <w:p>
                  <w:pPr>
                    <w:spacing w:after="120"/>
                  </w:pPr>
                  <w:r>
                    <w:rPr>
                      <w:lang w:val="en-US"/>
                      <w:rFonts w:ascii="Georgia" w:hAnsi="Georgia" w:cs="Georgia"/>
                      <w:u w:val="none"/>
                      <w:sz w:val="24"/>
                      <w:szCs w:val="24"/>
                      <w:color w:val="000000"/>
                    </w:rPr>
                    <w:t>"Detlef Hass impresses market sources with his expert handling of sophisticated commercial disputes. His work spans a range of industries from technology to automotive."</w:t>
                  </w:r>
                </w:p>
                <w:p>
                  <w:pPr>
                    <w:jc w:val="right"/>
                    <w:spacing w:after="300"/>
                  </w:pPr>
                  <w:r>
                    <w:rPr>
                      <w:lang w:val="en-US"/>
                      <w:u w:val="none"/>
                      <w:i/>
                      <w:rFonts w:ascii="Georgia" w:hAnsi="Georgia" w:cs="Georgia"/>
                      <w:sz w:val="24"/>
                      <w:szCs w:val="24"/>
                    </w:rPr>
                    <w:t>Who's Who Legal Germany: Litigation, 2019</w:t>
                  </w:r>
                </w:p>
              </w:tc>
            </w:tr>
            <w:tr>
              <w:tc>
                <w:tcPr>
                  <w:tcW w:w="3686.4" w:type="dxa"/>
                </w:tcPr>
                <w:p>
                  <w:pPr>
                    <w:spacing w:after="120"/>
                  </w:pPr>
                  <w:r>
                    <w:rPr>
                      <w:lang w:val="en-US"/>
                      <w:rFonts w:ascii="Georgia" w:hAnsi="Georgia" w:cs="Georgia"/>
                      <w:u w:val="none"/>
                      <w:sz w:val="24"/>
                      <w:szCs w:val="24"/>
                      <w:color w:val="000000"/>
                    </w:rPr>
                    <w:t>"Detlef Hass is widely perceived as an accomplished litigator, boasting expertise in insolvency, supply chain, cyber crime and cartel disputes."</w:t>
                  </w:r>
                </w:p>
                <w:p>
                  <w:pPr>
                    <w:jc w:val="right"/>
                    <w:spacing w:after="300"/>
                  </w:pPr>
                  <w:r>
                    <w:rPr>
                      <w:lang w:val="en-US"/>
                      <w:u w:val="none"/>
                      <w:i/>
                      <w:rFonts w:ascii="Georgia" w:hAnsi="Georgia" w:cs="Georgia"/>
                      <w:sz w:val="24"/>
                      <w:szCs w:val="24"/>
                    </w:rPr>
                    <w:t>Chambers Europe 2018</w:t>
                  </w:r>
                </w:p>
              </w:tc>
            </w:tr>
            <w:tr>
              <w:tc>
                <w:tcPr>
                  <w:tcW w:w="3686.4" w:type="dxa"/>
                </w:tcPr>
                <w:p>
                  <w:pPr>
                    <w:spacing w:after="120"/>
                  </w:pPr>
                  <w:r>
                    <w:rPr>
                      <w:lang w:val="en-US"/>
                      <w:rFonts w:ascii="Georgia" w:hAnsi="Georgia" w:cs="Georgia"/>
                      <w:u w:val="none"/>
                      <w:sz w:val="24"/>
                      <w:szCs w:val="24"/>
                      <w:color w:val="000000"/>
                    </w:rPr>
                    <w:t>"He has excellent knowledge in the automotive sector and is very familiar with the challenges and topics there."</w:t>
                  </w:r>
                </w:p>
                <w:p>
                  <w:pPr>
                    <w:jc w:val="right"/>
                    <w:spacing w:after="300"/>
                  </w:pPr>
                  <w:r>
                    <w:rPr>
                      <w:lang w:val="en-US"/>
                      <w:u w:val="none"/>
                      <w:i/>
                      <w:rFonts w:ascii="Georgia" w:hAnsi="Georgia" w:cs="Georgia"/>
                      <w:sz w:val="24"/>
                      <w:szCs w:val="24"/>
                    </w:rPr>
                    <w:t>Chambers Europe 2023</w:t>
                  </w:r>
                </w:p>
              </w:tc>
            </w:tr>
            <w:tr>
              <w:tc>
                <w:tcPr>
                  <w:tcW w:w="3686.4" w:type="dxa"/>
                </w:tcPr>
                <w:p>
                  <w:pPr>
                    <w:spacing w:after="120"/>
                  </w:pPr>
                  <w:r>
                    <w:rPr>
                      <w:lang w:val="en-US"/>
                      <w:rFonts w:ascii="Georgia" w:hAnsi="Georgia" w:cs="Georgia"/>
                      <w:u w:val="none"/>
                      <w:sz w:val="24"/>
                      <w:szCs w:val="24"/>
                      <w:color w:val="000000"/>
                    </w:rPr>
                    <w:t>"He offers comprehensive advice even beyond the field of litigation and is highly valued and accepted as a consultant."</w:t>
                  </w:r>
                </w:p>
                <w:p>
                  <w:pPr>
                    <w:jc w:val="right"/>
                    <w:spacing w:after="300"/>
                  </w:pPr>
                  <w:r>
                    <w:rPr>
                      <w:lang w:val="en-US"/>
                      <w:u w:val="none"/>
                      <w:i/>
                      <w:rFonts w:ascii="Georgia" w:hAnsi="Georgia" w:cs="Georgia"/>
                      <w:sz w:val="24"/>
                      <w:szCs w:val="24"/>
                    </w:rPr>
                    <w:t>Chambers Europe 2023</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9d037ced-aa50-4a2e-9793-dbbc4bce1f07.jpeg" Id="R2f7b13c17e704d94" /><Relationship Type="http://schemas.openxmlformats.org/officeDocument/2006/relationships/hyperlink" Target="mailto:detlef.hass@hoganlovells.com" TargetMode="External" Id="R77311e28901b4bc6" /><Relationship Type="http://schemas.openxmlformats.org/officeDocument/2006/relationships/hyperlink" Target="https://mc-7c5ead77-4153-4f21-9a29-b0c7-cm.azurewebsites.net//en/service/investigations" TargetMode="External" Id="R13f9762e5efa4e84" /><Relationship Type="http://schemas.openxmlformats.org/officeDocument/2006/relationships/hyperlink" Target="https://mc-7c5ead77-4153-4f21-9a29-b0c7-cm.azurewebsites.net//en/service/litigation-and-arbitration" TargetMode="External" Id="Ra4b46fed890f44d5" /><Relationship Type="http://schemas.openxmlformats.org/officeDocument/2006/relationships/hyperlink" Target="https://mc-7c5ead77-4153-4f21-9a29-b0c7-cm.azurewebsites.net//en/service/commercial-litigation" TargetMode="External" Id="R9eb9d89ab757429d" /><Relationship Type="http://schemas.openxmlformats.org/officeDocument/2006/relationships/hyperlink" Target="https://mc-7c5ead77-4153-4f21-9a29-b0c7-cm.azurewebsites.net//en/service/technology-litigation" TargetMode="External" Id="R80b48210d951428d" /><Relationship Type="http://schemas.openxmlformats.org/officeDocument/2006/relationships/hyperlink" Target="https://mc-7c5ead77-4153-4f21-9a29-b0c7-cm.azurewebsites.net//en/service/insolvency-litigation" TargetMode="External" Id="R70cafc704923490e" /><Relationship Type="http://schemas.openxmlformats.org/officeDocument/2006/relationships/hyperlink" Target="https://mc-7c5ead77-4153-4f21-9a29-b0c7-cm.azurewebsites.net//en/sector/automotive-and-mobility" TargetMode="External" Id="R47f7d16d34494564" /><Relationship Type="http://schemas.openxmlformats.org/officeDocument/2006/relationships/hyperlink" Target="https://mc-7c5ead77-4153-4f21-9a29-b0c7-cm.azurewebsites.net//en/sector/technology" TargetMode="External" Id="R10a0d7ba48f64dfb" /><Relationship Type="http://schemas.openxmlformats.org/officeDocument/2006/relationships/hyperlink" Target="https://mc-7c5ead77-4153-4f21-9a29-b0c7-cm.azurewebsites.net//en/sector/manufacturing-and-industrials" TargetMode="External" Id="R209b362551e54398" /><Relationship Type="http://schemas.openxmlformats.org/officeDocument/2006/relationships/hyperlink" Target="https://mc-7c5ead77-4153-4f21-9a29-b0c7-cm.azurewebsites.net//en/sector/transportation-and-logistics" TargetMode="External" Id="R3d56994866f64a4b" /><Relationship Type="http://schemas.openxmlformats.org/officeDocument/2006/relationships/hyperlink" Target="https://mc-7c5ead77-4153-4f21-9a29-b0c7-cm.azurewebsites.net//en/sector/consumer" TargetMode="External" Id="R0eae234406cf42dc" /><Relationship Type="http://schemas.openxmlformats.org/officeDocument/2006/relationships/hyperlink" Target="https://mc-7c5ead77-4153-4f21-9a29-b0c7-cm.azurewebsites.net/https://www.hoganlovells.com/en/capabilities/practice-category-group/litigation-arbitration-and-employment" TargetMode="External" Id="R0a97ef15d3074a7a" /><Relationship Type="http://schemas.openxmlformats.org/officeDocument/2006/relationships/hyperlink" Target="https://mc-7c5ead77-4153-4f21-9a29-b0c7-cm.azurewebsites.net//en/aof/financial-crime" TargetMode="External" Id="Reaee37e02c82476a" /><Relationship Type="http://schemas.openxmlformats.org/officeDocument/2006/relationships/hyperlink" Target="https://mc-7c5ead77-4153-4f21-9a29-b0c7-cm.azurewebsites.net//en/aof/antitrust-and-competition-litigation" TargetMode="External" Id="R8da78b36d8e24a87"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