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Ken Field</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Washington, D.C.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 xml:space="preserve">Ken Field is a nationally recognized leader in antitrust and health care law. He advises clients on all aspects of antitrust and competition law and regularly appears before the United States Department of Justice (DOJ), the Federal Trade Commission (FTC), and state antitrust enforcement authorities. </w:t>
                  </w:r>
                  <w:r>
                    <w:br/>
                  </w:r>
                </w:p>
                <w:p>
                  <w:pPr>
                    <w:spacing w:line="276"/>
                  </w:pPr>
                  <w:r>
                    <w:rPr>
                      <w:rFonts w:ascii="Georgia" w:hAnsi="Georgia" w:cs="Georgia"/>
                      <w:sz w:val="24"/>
                      <w:szCs w:val="24"/>
                    </w:rPr>
                    <w:t>Ken has a broad range of experience in M&amp;A, government investigations, litigation, compliance programs, and other complex competition issues and counsels clients in various industries in addition to health care, including retail, consumer products, packaged foods, telecommunications, manufacturing, transportation, energy, and more.</w:t>
                  </w:r>
                  <w:r>
                    <w:br/>
                  </w:r>
                </w:p>
                <w:p>
                  <w:pPr>
                    <w:spacing w:line="276"/>
                  </w:pPr>
                  <w:r>
                    <w:rPr>
                      <w:rFonts w:ascii="Georgia" w:hAnsi="Georgia" w:cs="Georgia"/>
                      <w:sz w:val="24"/>
                      <w:szCs w:val="24"/>
                    </w:rPr>
                    <w:t>Ken spent six years at the FTC, where he served as Counsel to the Director of the Bureau of Competition and as lead attorney on significant FTC investigations and litigated merger challenges. He began his career with the Antitrust Division of the DOJ before joining a major international law firm as an associate in 2002.</w:t>
                  </w:r>
                  <w:r>
                    <w:br/>
                  </w:r>
                </w:p>
                <w:p>
                  <w:pPr>
                    <w:spacing w:line="276"/>
                  </w:pPr>
                  <w:r>
                    <w:rPr>
                      <w:rFonts w:ascii="Georgia" w:hAnsi="Georgia" w:cs="Georgia"/>
                      <w:sz w:val="24"/>
                      <w:szCs w:val="24"/>
                    </w:rPr>
                    <w:t xml:space="preserve">In 2017 and 2018, </w:t>
                  </w:r>
                  <w:r>
                    <w:rPr>
                      <w:rFonts w:ascii="Georgia" w:hAnsi="Georgia" w:cs="Georgia"/>
                      <w:sz w:val="24"/>
                      <w:szCs w:val="24"/>
                      <w:i/>
                    </w:rPr>
                    <w:t xml:space="preserve">Who's Who Legal </w:t>
                  </w:r>
                  <w:r>
                    <w:rPr>
                      <w:rFonts w:ascii="Georgia" w:hAnsi="Georgia" w:cs="Georgia"/>
                      <w:sz w:val="24"/>
                      <w:szCs w:val="24"/>
                    </w:rPr>
                    <w:t xml:space="preserve">recommended Ken "for his proficiency handling major merger reviews" and "his brilliant merger defense work in the healthcare sector," calling him a "collaborative and creative thinker" who "brings the perfect combination of client service and government experience." He was also named a </w:t>
                  </w:r>
                  <w:r>
                    <w:rPr>
                      <w:rFonts w:ascii="Georgia" w:hAnsi="Georgia" w:cs="Georgia"/>
                      <w:sz w:val="24"/>
                      <w:szCs w:val="24"/>
                      <w:i/>
                    </w:rPr>
                    <w:t>Law360 Health Law MVP</w:t>
                  </w:r>
                  <w:r>
                    <w:rPr>
                      <w:rFonts w:ascii="Georgia" w:hAnsi="Georgia" w:cs="Georgia"/>
                      <w:sz w:val="24"/>
                      <w:szCs w:val="24"/>
                    </w:rPr>
                    <w:t xml:space="preserve"> in 2016 for his work on three high-profile merger and litigation matters. A member of the American Health Lawyers Association and American Bar Association Sections of Antitrust and Health Care Law, Ken frequently speaks and writes on important antitrust and health care issues.</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Antitrust counsel to LCMC Health in the partnership with Tulane University. Tulane Medical Center, Lakeview Regional Medical Center, and Tulane Lakeside Hospital were acquired by LCMC Health*</w:t>
                  </w:r>
                  <w:r>
                    <w:rPr>
                      <w:lang w:val="en-US"/>
                      <w:u w:val="none"/>
                    </w:rPr>
                    <w:br/>
                  </w:r>
                  <w:r>
                    <w:rPr>
                      <w:lang w:val="en-US"/>
                      <w:u w:val="none"/>
                    </w:rPr>
                    <w:br/>
                  </w:r>
                  <w:r>
                    <w:rPr>
                      <w:lang w:val="en-US"/>
                      <w:rFonts w:ascii="Georgia" w:hAnsi="Georgia" w:cs="Georgia"/>
                      <w:u w:val="none"/>
                      <w:sz w:val="24"/>
                      <w:szCs w:val="24"/>
                      <w:color w:val="000000"/>
                    </w:rPr>
                    <w:t>Antitrust counsel to Yale New Haven Health System regarding its Bridgeport Hospital’s successful acquisition of Milford Health &amp; Medical, Inc.,*</w:t>
                  </w:r>
                  <w:r>
                    <w:rPr>
                      <w:lang w:val="en-US"/>
                      <w:u w:val="none"/>
                    </w:rPr>
                    <w:br/>
                  </w:r>
                  <w:r>
                    <w:rPr>
                      <w:lang w:val="en-US"/>
                      <w:u w:val="none"/>
                    </w:rPr>
                    <w:br/>
                  </w:r>
                  <w:r>
                    <w:rPr>
                      <w:lang w:val="en-US"/>
                      <w:rFonts w:ascii="Georgia" w:hAnsi="Georgia" w:cs="Georgia"/>
                      <w:u w:val="none"/>
                      <w:sz w:val="24"/>
                      <w:szCs w:val="24"/>
                      <w:color w:val="000000"/>
                    </w:rPr>
                    <w:t>Antitrust counsel for both ProMedica Health Systems, Inc. and HCR ManorCare, Inc., and co-counsel for ProMedica on other complex corporate, bankruptcy, and regulatory issues.*</w:t>
                  </w:r>
                  <w:r>
                    <w:rPr>
                      <w:lang w:val="en-US"/>
                      <w:u w:val="none"/>
                    </w:rPr>
                    <w:br/>
                  </w:r>
                  <w:r>
                    <w:rPr>
                      <w:lang w:val="en-US"/>
                      <w:u w:val="none"/>
                    </w:rPr>
                    <w:br/>
                  </w:r>
                  <w:r>
                    <w:rPr>
                      <w:lang w:val="en-US"/>
                      <w:rFonts w:ascii="Georgia" w:hAnsi="Georgia" w:cs="Georgia"/>
                      <w:u w:val="none"/>
                      <w:sz w:val="24"/>
                      <w:szCs w:val="24"/>
                      <w:color w:val="000000"/>
                    </w:rPr>
                    <w:t>Antitrust counsel to Cabell Huntington Hospital, Inc. in a dispute with the FTC seeking to block Cabell’s acquisition of St. Mary’s Medical Center, Inc. *</w:t>
                  </w:r>
                  <w:r>
                    <w:rPr>
                      <w:lang w:val="en-US"/>
                      <w:u w:val="none"/>
                    </w:rPr>
                    <w:br/>
                  </w:r>
                  <w:r>
                    <w:rPr>
                      <w:lang w:val="en-US"/>
                      <w:u w:val="none"/>
                    </w:rPr>
                    <w:br/>
                  </w:r>
                  <w:r>
                    <w:rPr>
                      <w:lang w:val="en-US"/>
                      <w:rFonts w:ascii="Georgia" w:hAnsi="Georgia" w:cs="Georgia"/>
                      <w:u w:val="none"/>
                      <w:sz w:val="24"/>
                      <w:szCs w:val="24"/>
                      <w:color w:val="000000"/>
                    </w:rPr>
                    <w:t>Advised Rite Aid Corporation, one of the leading drugstore chains in the U.S., on the antitrust aspects of its proposed merger with Albertsons Companies, Inc. *</w:t>
                  </w:r>
                  <w:r>
                    <w:rPr>
                      <w:lang w:val="en-US"/>
                      <w:u w:val="none"/>
                    </w:rPr>
                    <w:br/>
                  </w:r>
                  <w:r>
                    <w:rPr>
                      <w:lang w:val="en-US"/>
                      <w:u w:val="none"/>
                    </w:rPr>
                    <w:br/>
                  </w:r>
                  <w:r>
                    <w:rPr>
                      <w:lang w:val="en-US"/>
                      <w:rFonts w:ascii="Georgia" w:hAnsi="Georgia" w:cs="Georgia"/>
                      <w:u w:val="none"/>
                      <w:sz w:val="24"/>
                      <w:szCs w:val="24"/>
                      <w:color w:val="000000"/>
                    </w:rPr>
                    <w:t>Advised PinnacleHealth System in its successful affiliation with the University of Pittsburgh Medical Center (UPMC). *</w:t>
                  </w:r>
                  <w:r>
                    <w:rPr>
                      <w:lang w:val="en-US"/>
                      <w:u w:val="none"/>
                    </w:rPr>
                    <w:br/>
                  </w:r>
                  <w:r>
                    <w:rPr>
                      <w:lang w:val="en-US"/>
                      <w:u w:val="none"/>
                    </w:rPr>
                    <w:br/>
                  </w:r>
                  <w:r>
                    <w:rPr>
                      <w:lang w:val="en-US"/>
                      <w:rFonts w:ascii="Georgia" w:hAnsi="Georgia" w:cs="Georgia"/>
                      <w:u w:val="none"/>
                      <w:sz w:val="24"/>
                      <w:szCs w:val="24"/>
                      <w:color w:val="000000"/>
                    </w:rPr>
                    <w:t>Advised PinnacleHealth System as it pursued a strategic partnership with Hanover Hospital in Hanover, Pennsylvania.*</w:t>
                  </w:r>
                  <w:r>
                    <w:rPr>
                      <w:lang w:val="en-US"/>
                      <w:u w:val="none"/>
                    </w:rPr>
                    <w:br/>
                  </w:r>
                  <w:r>
                    <w:rPr>
                      <w:lang w:val="en-US"/>
                      <w:u w:val="none"/>
                    </w:rPr>
                    <w:br/>
                  </w:r>
                  <w:r>
                    <w:rPr>
                      <w:lang w:val="en-US"/>
                      <w:rFonts w:ascii="Georgia" w:hAnsi="Georgia" w:cs="Georgia"/>
                      <w:u w:val="none"/>
                      <w:sz w:val="24"/>
                      <w:szCs w:val="24"/>
                      <w:color w:val="000000"/>
                    </w:rPr>
                    <w:t>Advised PinnacleHealth System in its successful acquisition of four Pennsylvania hospitals from Community Health Systems.*</w:t>
                  </w:r>
                  <w:r>
                    <w:rPr>
                      <w:lang w:val="en-US"/>
                      <w:u w:val="none"/>
                    </w:rPr>
                    <w:br/>
                  </w:r>
                  <w:r>
                    <w:rPr>
                      <w:lang w:val="en-US"/>
                      <w:u w:val="none"/>
                    </w:rPr>
                    <w:br/>
                  </w:r>
                  <w:r>
                    <w:rPr>
                      <w:lang w:val="en-US"/>
                      <w:rFonts w:ascii="Georgia" w:hAnsi="Georgia" w:cs="Georgia"/>
                      <w:u w:val="none"/>
                      <w:sz w:val="24"/>
                      <w:szCs w:val="24"/>
                      <w:color w:val="000000"/>
                    </w:rPr>
                    <w:t>Represented Mercy Health, Inc. in its acquisition of St. Anthony's Medical Center, the third largest hospital in the St. Louis metropolitan area, and successfully obtained antitrust clearance.*</w:t>
                  </w:r>
                  <w:r>
                    <w:rPr>
                      <w:lang w:val="en-US"/>
                      <w:u w:val="none"/>
                    </w:rPr>
                    <w:br/>
                  </w:r>
                  <w:r>
                    <w:rPr>
                      <w:lang w:val="en-US"/>
                      <w:u w:val="none"/>
                    </w:rPr>
                    <w:br/>
                  </w:r>
                  <w:r>
                    <w:rPr>
                      <w:lang w:val="en-US"/>
                      <w:rFonts w:ascii="Georgia" w:hAnsi="Georgia" w:cs="Georgia"/>
                      <w:u w:val="none"/>
                      <w:sz w:val="24"/>
                      <w:szCs w:val="24"/>
                      <w:color w:val="000000"/>
                    </w:rPr>
                    <w:t>Served as lead antitrust counsel to RCCH HealthCare Partners in the sale of EASTAR Health System, based in Muskogee, Oklahoma, to Saint Francis Health System.*</w:t>
                  </w:r>
                  <w:r>
                    <w:rPr>
                      <w:lang w:val="en-US"/>
                      <w:u w:val="none"/>
                    </w:rPr>
                    <w:br/>
                  </w:r>
                  <w:r>
                    <w:rPr>
                      <w:lang w:val="en-US"/>
                      <w:u w:val="none"/>
                    </w:rPr>
                    <w:br/>
                  </w:r>
                  <w:r>
                    <w:rPr>
                      <w:lang w:val="en-US"/>
                      <w:rFonts w:ascii="Georgia" w:hAnsi="Georgia" w:cs="Georgia"/>
                      <w:u w:val="none"/>
                      <w:sz w:val="24"/>
                      <w:szCs w:val="24"/>
                      <w:color w:val="000000"/>
                    </w:rPr>
                    <w:t>Represented PinnacleHealth System and Penn State Milton S. Hershey Medical Center as antitrust counsel in the hospitals' proposed merger. *</w:t>
                  </w:r>
                  <w:r>
                    <w:rPr>
                      <w:lang w:val="en-US"/>
                      <w:u w:val="none"/>
                    </w:rPr>
                    <w:br/>
                  </w:r>
                  <w:r>
                    <w:rPr>
                      <w:lang w:val="en-US"/>
                      <w:u w:val="none"/>
                    </w:rPr>
                    <w:br/>
                  </w:r>
                  <w:r>
                    <w:rPr>
                      <w:lang w:val="en-US"/>
                      <w:rFonts w:ascii="Georgia" w:hAnsi="Georgia" w:cs="Georgia"/>
                      <w:u w:val="none"/>
                      <w:sz w:val="24"/>
                      <w:szCs w:val="24"/>
                      <w:color w:val="000000"/>
                    </w:rPr>
                    <w:t>Represented CentraCare Health to obtain antitrust clearance through a consent decree with the Federal Trade Commission, to acquire St. Cloud Medical Group. *</w:t>
                  </w:r>
                  <w:r>
                    <w:rPr>
                      <w:lang w:val="en-US"/>
                      <w:u w:val="none"/>
                    </w:rPr>
                    <w:br/>
                  </w:r>
                  <w:r>
                    <w:rPr>
                      <w:lang w:val="en-US"/>
                      <w:u w:val="none"/>
                    </w:rPr>
                    <w:br/>
                  </w:r>
                  <w:r>
                    <w:rPr>
                      <w:lang w:val="en-US"/>
                      <w:rFonts w:ascii="Georgia" w:hAnsi="Georgia" w:cs="Georgia"/>
                      <w:u w:val="none"/>
                      <w:sz w:val="24"/>
                      <w:szCs w:val="24"/>
                      <w:color w:val="000000"/>
                    </w:rPr>
                    <w:t>Counseled Penn State Milton S. Hershey Medical Center in its acquisition of St. Joseph Regional Health Network, based in Reading, Pennsylvania, from Catholic Health Initiatives.*</w:t>
                  </w:r>
                  <w:r>
                    <w:rPr>
                      <w:lang w:val="en-US"/>
                      <w:u w:val="none"/>
                    </w:rPr>
                    <w:br/>
                  </w:r>
                  <w:r>
                    <w:rPr>
                      <w:lang w:val="en-US"/>
                      <w:u w:val="none"/>
                    </w:rPr>
                    <w:br/>
                  </w:r>
                  <w:r>
                    <w:rPr>
                      <w:lang w:val="en-US"/>
                      <w:rFonts w:ascii="Georgia" w:hAnsi="Georgia" w:cs="Georgia"/>
                      <w:u w:val="none"/>
                      <w:sz w:val="24"/>
                      <w:szCs w:val="24"/>
                      <w:color w:val="000000"/>
                    </w:rPr>
                    <w:t>Advised City of Hope in connection with the antitrust aspects of its acquisition of Cancer Treatment Centers of America.*</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M&amp;A Client Service All Star, </w:t>
                  </w:r>
                  <w:r>
                    <w:rPr>
                      <w:lang w:val="en-US"/>
                      <w:rFonts w:ascii="Georgia" w:hAnsi="Georgia" w:cs="Georgia"/>
                      <w:i/>
                      <w:u w:val="none"/>
                      <w:sz w:val="24"/>
                      <w:szCs w:val="24"/>
                      <w:color w:val="000000"/>
                    </w:rPr>
                    <w:t>BTI</w:t>
                  </w:r>
                  <w:r>
                    <w:rPr>
                      <w:rFonts w:ascii="Georgia" w:hAnsi="Georgia" w:cs="Georgia"/>
                      <w:sz w:val="24"/>
                      <w:szCs w:val="24"/>
                    </w:rPr>
                    <w:t>, 2021</w:t>
                  </w:r>
                </w:p>
              </w:tc>
            </w:tr>
            <w:tr>
              <w:tc>
                <w:tcPr>
                  <w:tcW w:w="5846.4" w:type="dxa"/>
                </w:tcPr>
                <w:p>
                  <w:pPr/>
                </w:p>
                <w:p>
                  <w:pPr>
                    <w:numPr>
                      <w:ilvl w:val="0"/>
                      <w:numId w:val="5"/>
                    </w:numPr>
                    <w:spacing w:after="0"/>
                  </w:pPr>
                  <w:r>
                    <w:rPr>
                      <w:rFonts w:ascii="Georgia" w:hAnsi="Georgia" w:cs="Georgia"/>
                      <w:sz w:val="24"/>
                      <w:szCs w:val="24"/>
                    </w:rPr>
                    <w:t xml:space="preserve">Health Care Trailblazer, </w:t>
                  </w:r>
                  <w:r>
                    <w:rPr>
                      <w:lang w:val="en-US"/>
                      <w:rFonts w:ascii="Georgia" w:hAnsi="Georgia" w:cs="Georgia"/>
                      <w:i/>
                      <w:u w:val="none"/>
                      <w:sz w:val="24"/>
                      <w:szCs w:val="24"/>
                      <w:color w:val="000000"/>
                    </w:rPr>
                    <w:t>National Law Journal</w:t>
                  </w:r>
                  <w:r>
                    <w:rPr>
                      <w:rFonts w:ascii="Georgia" w:hAnsi="Georgia" w:cs="Georgia"/>
                      <w:sz w:val="24"/>
                      <w:szCs w:val="24"/>
                    </w:rPr>
                    <w:t>, 2021</w:t>
                  </w:r>
                </w:p>
              </w:tc>
            </w:tr>
            <w:tr>
              <w:tc>
                <w:tcPr>
                  <w:tcW w:w="5846.4" w:type="dxa"/>
                </w:tcPr>
                <w:p>
                  <w:pPr/>
                </w:p>
                <w:p>
                  <w:pPr>
                    <w:numPr>
                      <w:ilvl w:val="0"/>
                      <w:numId w:val="6"/>
                    </w:numPr>
                    <w:spacing w:after="0"/>
                  </w:pPr>
                  <w:r>
                    <w:rPr>
                      <w:lang w:val="en-US"/>
                      <w:rFonts w:ascii="Georgia" w:hAnsi="Georgia" w:cs="Georgia"/>
                      <w:i/>
                      <w:u w:val="none"/>
                      <w:sz w:val="24"/>
                      <w:szCs w:val="24"/>
                      <w:color w:val="000000"/>
                    </w:rPr>
                    <w:t>The Best Lawyers</w:t>
                  </w:r>
                  <w:r>
                    <w:rPr>
                      <w:rFonts w:ascii="Georgia" w:hAnsi="Georgia" w:cs="Georgia"/>
                      <w:sz w:val="24"/>
                      <w:szCs w:val="24"/>
                    </w:rPr>
                    <w:t xml:space="preserve"> in America, </w:t>
                  </w:r>
                  <w:r>
                    <w:rPr>
                      <w:lang w:val="en-US"/>
                      <w:rFonts w:ascii="Georgia" w:hAnsi="Georgia" w:cs="Georgia"/>
                      <w:i/>
                      <w:u w:val="none"/>
                      <w:sz w:val="24"/>
                      <w:szCs w:val="24"/>
                      <w:color w:val="000000"/>
                    </w:rPr>
                    <w:t>The Best Lawyers</w:t>
                  </w:r>
                  <w:r>
                    <w:rPr>
                      <w:rFonts w:ascii="Georgia" w:hAnsi="Georgia" w:cs="Georgia"/>
                      <w:sz w:val="24"/>
                      <w:szCs w:val="24"/>
                    </w:rPr>
                    <w:t>, 2019-2022</w:t>
                  </w:r>
                </w:p>
              </w:tc>
            </w:tr>
            <w:tr>
              <w:tc>
                <w:tcPr>
                  <w:tcW w:w="5846.4" w:type="dxa"/>
                </w:tcPr>
                <w:p>
                  <w:pPr/>
                </w:p>
                <w:p>
                  <w:pPr>
                    <w:numPr>
                      <w:ilvl w:val="0"/>
                      <w:numId w:val="7"/>
                    </w:numPr>
                    <w:spacing w:after="0"/>
                  </w:pPr>
                  <w:r>
                    <w:rPr>
                      <w:rFonts w:ascii="Georgia" w:hAnsi="Georgia" w:cs="Georgia"/>
                      <w:sz w:val="24"/>
                      <w:szCs w:val="24"/>
                    </w:rPr>
                    <w:t xml:space="preserve">Next Generation Partner, </w:t>
                  </w:r>
                  <w:r>
                    <w:rPr>
                      <w:lang w:val="en-US"/>
                      <w:rFonts w:ascii="Georgia" w:hAnsi="Georgia" w:cs="Georgia"/>
                      <w:i/>
                      <w:u w:val="none"/>
                      <w:sz w:val="24"/>
                      <w:szCs w:val="24"/>
                      <w:color w:val="000000"/>
                    </w:rPr>
                    <w:t>Legal 500</w:t>
                  </w:r>
                  <w:r>
                    <w:rPr>
                      <w:rFonts w:ascii="Georgia" w:hAnsi="Georgia" w:cs="Georgia"/>
                      <w:sz w:val="24"/>
                      <w:szCs w:val="24"/>
                    </w:rPr>
                    <w:t>, 2020</w:t>
                  </w:r>
                </w:p>
              </w:tc>
            </w:tr>
            <w:tr>
              <w:tc>
                <w:tcPr>
                  <w:tcW w:w="5846.4" w:type="dxa"/>
                </w:tcPr>
                <w:p>
                  <w:pPr/>
                </w:p>
                <w:p>
                  <w:pPr>
                    <w:numPr>
                      <w:ilvl w:val="0"/>
                      <w:numId w:val="8"/>
                    </w:numPr>
                    <w:spacing w:after="0"/>
                  </w:pPr>
                  <w:r>
                    <w:rPr>
                      <w:rFonts w:ascii="Georgia" w:hAnsi="Georgia" w:cs="Georgia"/>
                      <w:sz w:val="24"/>
                      <w:szCs w:val="24"/>
                    </w:rPr>
                    <w:t xml:space="preserve">Future Leaders, </w:t>
                  </w:r>
                  <w:r>
                    <w:rPr>
                      <w:lang w:val="en-US"/>
                      <w:rFonts w:ascii="Georgia" w:hAnsi="Georgia" w:cs="Georgia"/>
                      <w:i/>
                      <w:u w:val="none"/>
                      <w:sz w:val="24"/>
                      <w:szCs w:val="24"/>
                      <w:color w:val="000000"/>
                    </w:rPr>
                    <w:t>Who's Who Legal: Competition</w:t>
                  </w:r>
                  <w:r>
                    <w:rPr>
                      <w:rFonts w:ascii="Georgia" w:hAnsi="Georgia" w:cs="Georgia"/>
                      <w:sz w:val="24"/>
                      <w:szCs w:val="24"/>
                    </w:rPr>
                    <w:t>, 2017-2018</w:t>
                  </w:r>
                </w:p>
              </w:tc>
            </w:tr>
            <w:tr>
              <w:tc>
                <w:tcPr>
                  <w:tcW w:w="5846.4" w:type="dxa"/>
                </w:tcPr>
                <w:p>
                  <w:pPr/>
                </w:p>
                <w:p>
                  <w:pPr>
                    <w:numPr>
                      <w:ilvl w:val="0"/>
                      <w:numId w:val="9"/>
                    </w:numPr>
                    <w:spacing w:after="0"/>
                  </w:pPr>
                  <w:r>
                    <w:rPr>
                      <w:rFonts w:ascii="Georgia" w:hAnsi="Georgia" w:cs="Georgia"/>
                      <w:sz w:val="24"/>
                      <w:szCs w:val="24"/>
                    </w:rPr>
                    <w:t xml:space="preserve">Health Law MVP, </w:t>
                  </w:r>
                  <w:r>
                    <w:rPr>
                      <w:lang w:val="en-US"/>
                      <w:rFonts w:ascii="Georgia" w:hAnsi="Georgia" w:cs="Georgia"/>
                      <w:i/>
                      <w:u w:val="none"/>
                      <w:sz w:val="24"/>
                      <w:szCs w:val="24"/>
                      <w:color w:val="000000"/>
                    </w:rPr>
                    <w:t>Law360</w:t>
                  </w:r>
                  <w:r>
                    <w:rPr>
                      <w:rFonts w:ascii="Georgia" w:hAnsi="Georgia" w:cs="Georgia"/>
                      <w:sz w:val="24"/>
                      <w:szCs w:val="24"/>
                    </w:rPr>
                    <w:t>, 2016</w:t>
                  </w:r>
                </w:p>
              </w:tc>
            </w:tr>
            <w:tr>
              <w:tc>
                <w:tcPr>
                  <w:tcW w:w="5846.4" w:type="dxa"/>
                </w:tcPr>
                <w:p>
                  <w:pPr/>
                </w:p>
                <w:p>
                  <w:pPr>
                    <w:numPr>
                      <w:ilvl w:val="0"/>
                      <w:numId w:val="10"/>
                    </w:numPr>
                    <w:spacing w:after="0"/>
                  </w:pPr>
                  <w:r>
                    <w:rPr>
                      <w:rFonts w:ascii="Georgia" w:hAnsi="Georgia" w:cs="Georgia"/>
                      <w:sz w:val="24"/>
                      <w:szCs w:val="24"/>
                    </w:rPr>
                    <w:t xml:space="preserve">Sec. 363 Sale of the Year (over $100m), Key Partner, </w:t>
                  </w:r>
                  <w:r>
                    <w:rPr>
                      <w:lang w:val="en-US"/>
                      <w:rFonts w:ascii="Georgia" w:hAnsi="Georgia" w:cs="Georgia"/>
                      <w:i/>
                      <w:u w:val="none"/>
                      <w:sz w:val="24"/>
                      <w:szCs w:val="24"/>
                      <w:color w:val="000000"/>
                    </w:rPr>
                    <w:t>M&amp;A Advisor</w:t>
                  </w:r>
                  <w:r>
                    <w:rPr>
                      <w:rFonts w:ascii="Georgia" w:hAnsi="Georgia" w:cs="Georgia"/>
                      <w:sz w:val="24"/>
                      <w:szCs w:val="24"/>
                    </w:rPr>
                    <w:t>, 2025</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Trump 2.0 antitrust agenda takes shape in administration’s first 100 days: What we’re seeing and what to expect</w:t>
                  </w:r>
                  <w:r>
                    <w:rPr>
                      <w:rFonts w:ascii="Georgia" w:hAnsi="Georgia" w:cs="Georgia"/>
                      <w:sz w:val="20"/>
                      <w:szCs w:val="20"/>
                    </w:rPr>
                    <w:br/>
                  </w:r>
                  <w:r>
                    <w:rPr>
                      <w:rFonts w:ascii="Georgia" w:hAnsi="Georgia" w:cs="Georgia"/>
                      <w:sz w:val="20"/>
                      <w:szCs w:val="20"/>
                    </w:rPr>
                    <w:t>24 April 2025</w:t>
                  </w:r>
                </w:p>
              </w:tc>
            </w:tr>
            <w:tr>
              <w:tc>
                <w:tcPr>
                  <w:tcW w:w="5846.4" w:type="dxa"/>
                </w:tcPr>
                <w:p>
                  <w:pPr>
                    <w:spacing w:after="220"/>
                  </w:pPr>
                  <w:r>
                    <w:rPr>
                      <w:lang w:val="en-US"/>
                      <w:rFonts w:ascii="Georgia" w:hAnsi="Georgia" w:cs="Georgia"/>
                      <w:u w:val="none"/>
                      <w:sz w:val="24"/>
                      <w:szCs w:val="24"/>
                      <w:color w:val="58A618"/>
                    </w:rPr>
                    <w:t>Awards &amp; rankings</w:t>
                  </w:r>
                  <w:r>
                    <w:rPr>
                      <w:rFonts w:ascii="Georgia" w:hAnsi="Georgia" w:cs="Georgia"/>
                      <w:sz w:val="24"/>
                      <w:szCs w:val="24"/>
                    </w:rPr>
                    <w:br/>
                  </w:r>
                  <w:r>
                    <w:rPr>
                      <w:rFonts w:ascii="Georgia" w:hAnsi="Georgia" w:cs="Georgia"/>
                      <w:sz w:val="24"/>
                      <w:szCs w:val="24"/>
                    </w:rPr>
                    <w:t>Hogan Lovells wins Sale of the Year and Industrials Deal of the Year by M&amp;A Advisor's Turnaround Awards</w:t>
                  </w:r>
                  <w:r>
                    <w:rPr>
                      <w:rFonts w:ascii="Georgia" w:hAnsi="Georgia" w:cs="Georgia"/>
                      <w:sz w:val="20"/>
                      <w:szCs w:val="20"/>
                    </w:rPr>
                    <w:br/>
                  </w:r>
                  <w:r>
                    <w:rPr>
                      <w:rFonts w:ascii="Georgia" w:hAnsi="Georgia" w:cs="Georgia"/>
                      <w:sz w:val="20"/>
                      <w:szCs w:val="20"/>
                    </w:rPr>
                    <w:t>04 February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Antitrust Year in Review and a Look Ahead to 2025</w:t>
                  </w:r>
                  <w:r>
                    <w:rPr>
                      <w:rFonts w:ascii="Georgia" w:hAnsi="Georgia" w:cs="Georgia"/>
                      <w:sz w:val="20"/>
                      <w:szCs w:val="20"/>
                    </w:rPr>
                    <w:br/>
                  </w:r>
                  <w:r>
                    <w:rPr>
                      <w:rFonts w:ascii="Georgia" w:hAnsi="Georgia" w:cs="Georgia"/>
                      <w:sz w:val="20"/>
                      <w:szCs w:val="20"/>
                    </w:rPr>
                    <w:t>10 January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Trump 2.0: What a new Trump Administration means for antitrust enforcement</w:t>
                  </w:r>
                  <w:r>
                    <w:rPr>
                      <w:rFonts w:ascii="Georgia" w:hAnsi="Georgia" w:cs="Georgia"/>
                      <w:sz w:val="20"/>
                      <w:szCs w:val="20"/>
                    </w:rPr>
                    <w:br/>
                  </w:r>
                  <w:r>
                    <w:rPr>
                      <w:rFonts w:ascii="Georgia" w:hAnsi="Georgia" w:cs="Georgia"/>
                      <w:sz w:val="20"/>
                      <w:szCs w:val="20"/>
                    </w:rPr>
                    <w:t>21 November 2024</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New FTC plan for a possible government shutdown would shut down reportable mergers and acquisitions</w:t>
                  </w:r>
                  <w:r>
                    <w:rPr>
                      <w:rFonts w:ascii="Georgia" w:hAnsi="Georgia" w:cs="Georgia"/>
                      <w:sz w:val="20"/>
                      <w:szCs w:val="20"/>
                    </w:rPr>
                    <w:br/>
                  </w:r>
                  <w:r>
                    <w:rPr>
                      <w:rFonts w:ascii="Georgia" w:hAnsi="Georgia" w:cs="Georgia"/>
                      <w:sz w:val="20"/>
                      <w:szCs w:val="20"/>
                    </w:rPr>
                    <w:t>26 February 2024</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FTC challenges first hospital merger under new Merger Guidelines</w:t>
                  </w:r>
                  <w:r>
                    <w:rPr>
                      <w:rFonts w:ascii="Georgia" w:hAnsi="Georgia" w:cs="Georgia"/>
                      <w:sz w:val="20"/>
                      <w:szCs w:val="20"/>
                    </w:rPr>
                    <w:br/>
                  </w:r>
                  <w:r>
                    <w:rPr>
                      <w:rFonts w:ascii="Georgia" w:hAnsi="Georgia" w:cs="Georgia"/>
                      <w:sz w:val="20"/>
                      <w:szCs w:val="20"/>
                    </w:rPr>
                    <w:t>29 January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05e14ded6a4a30"/>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+1 202 637 5869</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+1 202 637 5910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71c70951c6c0434c" w:history="1">
                    <w:r>
                      <w:rPr>
                        <w:rStyle w:val="Hyperlink"/>
                        <w:rFonts w:ascii="Georgia" w:hAnsi="Georgia" w:cs="Georgia"/>
                        <w:sz w:val="22"/>
                        <w:szCs w:val="22"/>
                        <w:u w:val="none"/>
                      </w:rPr>
                      <w:t>ken.field@hoganlovells.com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95c7fd37b7c14e89" w:history="1">
                    <w:r>
                      <w:rPr>
                        <w:rStyle w:val="Hyperlink"/>
                        <w:rFonts w:ascii="Georgia" w:hAnsi="Georgia" w:cs="Georgia"/>
                        <w:sz w:val="24"/>
                        <w:szCs w:val="24"/>
                      </w:rPr>
                      <w:t>Antitrust and Competition</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p w:rsidR="004A1494" w:rsidRPr="00F20A7A" w:rsidRDefault="004A1494">
            <w:pPr>
              <w:rPr>
                <w:sz w:val="4"/>
                <w:szCs w:val="4"/>
              </w:rPr>
            </w:pPr>
          </w:p>
          <w:p w:rsidR="000B7E44" w:rsidRDefault="000B7E44">
            <w:pPr>
              <w:rPr>
                <w:sz w:val="4"/>
                <w:szCs w:val="4"/>
              </w:rPr>
            </w:pPr>
          </w:p>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Juris Doctor, Georgetown University Law Center, Cum Laude, 2005</w:t>
                  </w:r>
                </w:p>
              </w:tc>
            </w:tr>
            <w:tr>
              <w:tc>
                <w:tcPr>
                  <w:tcW w:w="3686.4" w:type="dxa"/>
                </w:tcPr>
                <w:p>
                  <w:pPr>
                    <w:spacing w:after="220"/>
                  </w:pPr>
                  <w:r>
                    <w:rPr>
                      <w:lang w:val="en-US"/>
                      <w:rFonts w:ascii="Georgia" w:hAnsi="Georgia" w:cs="Georgia"/>
                      <w:u w:val="none"/>
                      <w:sz w:val="24"/>
                      <w:szCs w:val="24"/>
                      <w:color w:val="000000"/>
                    </w:rPr>
                    <w:t>M.B.A., Georgetown University, 2002</w:t>
                  </w:r>
                </w:p>
              </w:tc>
            </w:tr>
            <w:tr>
              <w:tc>
                <w:tcPr>
                  <w:tcW w:w="3686.4" w:type="dxa"/>
                </w:tcPr>
                <w:p>
                  <w:pPr>
                    <w:spacing w:after="220"/>
                  </w:pPr>
                  <w:r>
                    <w:rPr>
                      <w:lang w:val="en-US"/>
                      <w:rFonts w:ascii="Georgia" w:hAnsi="Georgia" w:cs="Georgia"/>
                      <w:u w:val="none"/>
                      <w:sz w:val="24"/>
                      <w:szCs w:val="24"/>
                      <w:color w:val="000000"/>
                    </w:rPr>
                    <w:t>B.A. Political Science, magna cum laude, University of California, San Diego, 1995</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California</w:t>
                  </w:r>
                </w:p>
              </w:tc>
            </w:tr>
            <w:tr>
              <w:tc>
                <w:tcPr>
                  <w:tcW w:w="3686.4" w:type="dxa"/>
                </w:tcPr>
                <w:p>
                  <w:pPr>
                    <w:spacing w:after="220"/>
                  </w:pPr>
                  <w:r>
                    <w:rPr>
                      <w:lang w:val="en-US"/>
                      <w:rFonts w:ascii="Georgia" w:hAnsi="Georgia" w:cs="Georgia"/>
                      <w:u w:val="none"/>
                      <w:sz w:val="24"/>
                      <w:szCs w:val="24"/>
                      <w:color w:val="000000"/>
                    </w:rPr>
                    <w:t>District of Columbia</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a772a163-d55d-4e70-bf51-902bb75962b1.jpeg" Id="R9f05e14ded6a4a30" /><Relationship Type="http://schemas.openxmlformats.org/officeDocument/2006/relationships/hyperlink" Target="mailto:ken.field@hoganlovells.com" TargetMode="External" Id="R71c70951c6c0434c" /><Relationship Type="http://schemas.openxmlformats.org/officeDocument/2006/relationships/hyperlink" Target="https://mc-7c5ead77-4153-4f21-9a29-b0c7-cm.azurewebsites.net//en/service/antitrust-and-competition" TargetMode="External" Id="R95c7fd37b7c14e89"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