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Joy Baur</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Counsel</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Hamburg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Joy Baur advises national and international clients on corporate and commercial law matters and assists in complex M&amp;A transactions as well as in structuring joint ventures. </w:t>
                  </w:r>
                  <w:r>
                    <w:br/>
                  </w:r>
                </w:p>
                <w:p>
                  <w:pPr>
                    <w:spacing w:line="276"/>
                  </w:pPr>
                  <w:r>
                    <w:rPr>
                      <w:rFonts w:ascii="Georgia" w:hAnsi="Georgia" w:cs="Georgia"/>
                      <w:sz w:val="24"/>
                      <w:szCs w:val="24"/>
                    </w:rPr>
                    <w:t>She joined the firm's Corporate/M&amp;A practice in 2020 and focuses on transactions in regulated industries, particularly in the energy and aviation sectors.</w:t>
                  </w:r>
                  <w:r>
                    <w:br/>
                  </w:r>
                </w:p>
                <w:p>
                  <w:pPr>
                    <w:spacing w:line="276"/>
                  </w:pPr>
                  <w:r>
                    <w:rPr>
                      <w:rFonts w:ascii="Georgia" w:hAnsi="Georgia" w:cs="Georgia"/>
                      <w:sz w:val="24"/>
                      <w:szCs w:val="24"/>
                    </w:rPr>
                    <w:t>Joy studied law at the University of Munich with a focus on corporate, capital markets and insolvency law. During her legal clerkship with the Hanseatic Higher Regional Court she worked in the Hamburg office of Hogan Lovells, for the German Canadian Chamber of Industry and Commerce in Toronto as well as for a U.S. law firm in New York City.</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Advising Chubu Electric Power Co. Inc. on participation in a geothermal project in Geretsried, Germany.</w:t>
                  </w:r>
                  <w:r>
                    <w:rPr>
                      <w:lang w:val="en-US"/>
                      <w:u w:val="none"/>
                    </w:rPr>
                    <w:br/>
                  </w:r>
                  <w:r>
                    <w:rPr>
                      <w:lang w:val="en-US"/>
                      <w:u w:val="none"/>
                    </w:rPr>
                    <w:br/>
                  </w:r>
                  <w:r>
                    <w:rPr>
                      <w:lang w:val="en-US"/>
                      <w:rFonts w:ascii="Georgia" w:hAnsi="Georgia" w:cs="Georgia"/>
                      <w:u w:val="none"/>
                      <w:sz w:val="24"/>
                      <w:szCs w:val="24"/>
                      <w:color w:val="000000"/>
                    </w:rPr>
                    <w:t>Advising Banijay Germany GmbH acquisition of Sony Pictures Film- und Fernseh Produktions GmbH.</w:t>
                  </w:r>
                  <w:r>
                    <w:rPr>
                      <w:lang w:val="en-US"/>
                      <w:u w:val="none"/>
                    </w:rPr>
                    <w:br/>
                  </w:r>
                  <w:r>
                    <w:rPr>
                      <w:lang w:val="en-US"/>
                      <w:u w:val="none"/>
                    </w:rPr>
                    <w:br/>
                  </w:r>
                  <w:r>
                    <w:rPr>
                      <w:lang w:val="en-US"/>
                      <w:rFonts w:ascii="Georgia" w:hAnsi="Georgia" w:cs="Georgia"/>
                      <w:u w:val="none"/>
                      <w:sz w:val="24"/>
                      <w:szCs w:val="24"/>
                      <w:color w:val="000000"/>
                    </w:rPr>
                    <w:t>Advising EB – Sustainable Investment Management (EB-SIM) and LHI Group on the acquisition of the Swedish windfarm project Aldermyrberget with a capacity of 71 MW.</w:t>
                  </w:r>
                  <w:r>
                    <w:rPr>
                      <w:lang w:val="en-US"/>
                      <w:u w:val="none"/>
                    </w:rPr>
                    <w:br/>
                  </w:r>
                  <w:r>
                    <w:rPr>
                      <w:lang w:val="en-US"/>
                      <w:u w:val="none"/>
                    </w:rPr>
                    <w:br/>
                  </w:r>
                  <w:r>
                    <w:rPr>
                      <w:lang w:val="en-US"/>
                      <w:rFonts w:ascii="Georgia" w:hAnsi="Georgia" w:cs="Georgia"/>
                      <w:u w:val="none"/>
                      <w:sz w:val="24"/>
                      <w:szCs w:val="24"/>
                      <w:color w:val="000000"/>
                    </w:rPr>
                    <w:t>Advising KIRKBI Invest A/S and William Demant Invest A/S on the sale of their indirect interests in the German offshore wind farm Borkum Riffgrund I with a deal value of EUR 350m.</w:t>
                  </w:r>
                  <w:r>
                    <w:rPr>
                      <w:lang w:val="en-US"/>
                      <w:u w:val="none"/>
                    </w:rPr>
                    <w:br/>
                  </w:r>
                  <w:r>
                    <w:rPr>
                      <w:lang w:val="en-US"/>
                      <w:u w:val="none"/>
                    </w:rPr>
                    <w:br/>
                  </w:r>
                  <w:r>
                    <w:rPr>
                      <w:lang w:val="en-US"/>
                      <w:rFonts w:ascii="Georgia" w:hAnsi="Georgia" w:cs="Georgia"/>
                      <w:u w:val="none"/>
                      <w:sz w:val="24"/>
                      <w:szCs w:val="24"/>
                      <w:color w:val="000000"/>
                    </w:rPr>
                    <w:t>Advising Encavis Asset Management on the acquisition of an onshore wind farm in Ireland.</w:t>
                  </w:r>
                </w:p>
              </w:tc>
            </w:tr>
          </w:tbl>
          <w:p w:rsidR="004A1494" w:rsidRDefault="004A1494" w:rsidP="00D01155">
            <w:pPr>
              <w:ind w:left="-383" w:firstLine="383"/>
              <w:rPr>
                <w:sz w:val="4"/>
                <w:szCs w:val="4"/>
              </w:rPr>
            </w:pPr>
          </w:p>
          <w:p w:rsidR="004A1494" w:rsidRPr="00086676" w:rsidRDefault="004A1494" w:rsidP="00D01155">
            <w:pPr>
              <w:ind w:left="-383" w:firstLine="383"/>
              <w:rPr>
                <w:sz w:val="4"/>
                <w:szCs w:val="4"/>
              </w:rPr>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welcomes 2026 with partner and counsel promotions  across the Americas, Europe, and Asia-Pacific</w:t>
                  </w:r>
                  <w:r>
                    <w:rPr>
                      <w:rFonts w:ascii="Georgia" w:hAnsi="Georgia" w:cs="Georgia"/>
                      <w:sz w:val="20"/>
                      <w:szCs w:val="20"/>
                    </w:rPr>
                    <w:br/>
                  </w:r>
                  <w:r>
                    <w:rPr>
                      <w:rFonts w:ascii="Georgia" w:hAnsi="Georgia" w:cs="Georgia"/>
                      <w:sz w:val="20"/>
                      <w:szCs w:val="20"/>
                    </w:rPr>
                    <w:t>06 January 2026</w:t>
                  </w:r>
                </w:p>
              </w:tc>
            </w:tr>
            <w:tr>
              <w:tc>
                <w:tcPr>
                  <w:tcW w:w="5846.4" w:type="dxa"/>
                </w:tcPr>
                <w:p>
                  <w:pPr>
                    <w:spacing w:after="220"/>
                  </w:pPr>
                  <w:r>
                    <w:rPr>
                      <w:lang w:val="en-US"/>
                      <w:rFonts w:ascii="Georgia" w:hAnsi="Georgia" w:cs="Georgia"/>
                      <w:u w:val="none"/>
                      <w:sz w:val="24"/>
                      <w:szCs w:val="24"/>
                      <w:color w:val="58A618"/>
                    </w:rPr>
                    <w:t>Webinar</w:t>
                  </w:r>
                  <w:r>
                    <w:rPr>
                      <w:rFonts w:ascii="Georgia" w:hAnsi="Georgia" w:cs="Georgia"/>
                      <w:sz w:val="24"/>
                      <w:szCs w:val="24"/>
                    </w:rPr>
                    <w:br/>
                  </w:r>
                  <w:r>
                    <w:rPr>
                      <w:rFonts w:ascii="Georgia" w:hAnsi="Georgia" w:cs="Georgia"/>
                      <w:sz w:val="24"/>
                      <w:szCs w:val="24"/>
                    </w:rPr>
                    <w:t>Germany’s Defense Sector – Opportunities and Challenges</w:t>
                  </w:r>
                  <w:r>
                    <w:rPr>
                      <w:rFonts w:ascii="Georgia" w:hAnsi="Georgia" w:cs="Georgia"/>
                      <w:sz w:val="20"/>
                      <w:szCs w:val="20"/>
                    </w:rPr>
                    <w:br/>
                  </w:r>
                  <w:r>
                    <w:rPr>
                      <w:rFonts w:ascii="Georgia" w:hAnsi="Georgia" w:cs="Georgia"/>
                      <w:sz w:val="20"/>
                      <w:szCs w:val="20"/>
                    </w:rPr>
                    <w:t>18 September 2025 I 8.00 - 9.00 (PDT) I 11.00 - 12.00 (EDT) I 4.00 - 5.00 (BST) I 5.00 - 6.00 (CEST)</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Helsing on the restructuring into an SE holding company</w:t>
                  </w:r>
                  <w:r>
                    <w:rPr>
                      <w:rFonts w:ascii="Georgia" w:hAnsi="Georgia" w:cs="Georgia"/>
                      <w:sz w:val="20"/>
                      <w:szCs w:val="20"/>
                    </w:rPr>
                    <w:br/>
                  </w:r>
                  <w:r>
                    <w:rPr>
                      <w:rFonts w:ascii="Georgia" w:hAnsi="Georgia" w:cs="Georgia"/>
                      <w:sz w:val="20"/>
                      <w:szCs w:val="20"/>
                    </w:rPr>
                    <w:t>29 August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Driving Innovation in Aerospace and Defence for Europe: Hogan Lovells advises Helsing on the acquisition of Grob Aircraft</w:t>
                  </w:r>
                  <w:r>
                    <w:rPr>
                      <w:rFonts w:ascii="Georgia" w:hAnsi="Georgia" w:cs="Georgia"/>
                      <w:sz w:val="20"/>
                      <w:szCs w:val="20"/>
                    </w:rPr>
                    <w:br/>
                  </w:r>
                  <w:r>
                    <w:rPr>
                      <w:rFonts w:ascii="Georgia" w:hAnsi="Georgia" w:cs="Georgia"/>
                      <w:sz w:val="20"/>
                      <w:szCs w:val="20"/>
                    </w:rPr>
                    <w:t>05 June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KIRKBI on the acquisition of a minority stake in AMBOSS</w:t>
                  </w:r>
                  <w:r>
                    <w:rPr>
                      <w:rFonts w:ascii="Georgia" w:hAnsi="Georgia" w:cs="Georgia"/>
                      <w:sz w:val="20"/>
                      <w:szCs w:val="20"/>
                    </w:rPr>
                    <w:br/>
                  </w:r>
                  <w:r>
                    <w:rPr>
                      <w:rFonts w:ascii="Georgia" w:hAnsi="Georgia" w:cs="Georgia"/>
                      <w:sz w:val="20"/>
                      <w:szCs w:val="20"/>
                    </w:rPr>
                    <w:t>01 April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National Space Company on the acquisition of UP42 Satellite Geospatial Data Company from Airbus</w:t>
                  </w:r>
                  <w:r>
                    <w:rPr>
                      <w:rFonts w:ascii="Georgia" w:hAnsi="Georgia" w:cs="Georgia"/>
                      <w:sz w:val="20"/>
                      <w:szCs w:val="20"/>
                    </w:rPr>
                    <w:br/>
                  </w:r>
                  <w:r>
                    <w:rPr>
                      <w:rFonts w:ascii="Georgia" w:hAnsi="Georgia" w:cs="Georgia"/>
                      <w:sz w:val="20"/>
                      <w:szCs w:val="20"/>
                    </w:rPr>
                    <w:t>19 December 2024</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7a1f8049974f4a"/>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+49 40 419 93 376</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+49 40 419 93 200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c84fb666d1a04900" w:history="1">
                    <w:r>
                      <w:rPr>
                        <w:rStyle w:val="Hyperlink"/>
                        <w:rFonts w:ascii="Georgia" w:hAnsi="Georgia" w:cs="Georgia"/>
                        <w:sz w:val="22"/>
                        <w:szCs w:val="22"/>
                        <w:u w:val="none"/>
                      </w:rPr>
                      <w:t>joy.baur@hoganlovells.com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German</w:t>
                  </w:r>
                </w:p>
              </w:tc>
            </w:tr>
            <w:tr>
              <w:tc>
                <w:tcPr>
                  <w:tcW w:w="3686.4" w:type="dxa"/>
                </w:tcPr>
                <w:p>
                  <w:pPr>
                    <w:spacing w:after="220"/>
                  </w:pPr>
                  <w:r>
                    <w:rPr>
                      <w:lang w:val="en-US"/>
                      <w:rFonts w:ascii="Georgia" w:hAnsi="Georgia" w:cs="Georgia"/>
                      <w:u w:val="none"/>
                      <w:sz w:val="24"/>
                      <w:szCs w:val="24"/>
                      <w:color w:val="000000"/>
                    </w:rPr>
                    <w:t>Spanish</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b93125f921ec4ec1" w:history="1">
                    <w:r>
                      <w:rPr>
                        <w:rStyle w:val="Hyperlink"/>
                        <w:rFonts w:ascii="Georgia" w:hAnsi="Georgia" w:cs="Georgia"/>
                        <w:sz w:val="24"/>
                        <w:szCs w:val="24"/>
                      </w:rPr>
                      <w:t>Mergers and Acquisitions</w:t>
                    </w:r>
                  </w:hyperlink>
                </w:p>
              </w:tc>
            </w:tr>
            <w:tr>
              <w:tc>
                <w:tcPr>
                  <w:tcW w:w="3686.4" w:type="dxa"/>
                </w:tcPr>
                <w:p>
                  <w:pPr>
                    <w:spacing w:after="220"/>
                  </w:pPr>
                  <w:hyperlink r:id="Rb93125f921ec4ec1" w:history="1">
                    <w:r>
                      <w:rPr>
                        <w:rStyle w:val="Hyperlink"/>
                        <w:rFonts w:ascii="Georgia" w:hAnsi="Georgia" w:cs="Georgia"/>
                        <w:sz w:val="24"/>
                        <w:szCs w:val="24"/>
                      </w:rPr>
                      <w:t>Mergers and Acquisitions</w:t>
                    </w:r>
                  </w:hyperlink>
                </w:p>
              </w:tc>
            </w:tr>
            <w:tr>
              <w:tc>
                <w:tcPr>
                  <w:tcW w:w="3686.4" w:type="dxa"/>
                </w:tcPr>
                <w:p>
                  <w:pPr>
                    <w:spacing w:after="220"/>
                  </w:pPr>
                  <w:hyperlink r:id="R32f20b2a64264796" w:history="1">
                    <w:r>
                      <w:rPr>
                        <w:rStyle w:val="Hyperlink"/>
                        <w:rFonts w:ascii="Georgia" w:hAnsi="Georgia" w:cs="Georgia"/>
                        <w:sz w:val="24"/>
                        <w:szCs w:val="24"/>
                      </w:rPr>
                      <w:t>Joint Ventures</w:t>
                    </w:r>
                  </w:hyperlink>
                </w:p>
              </w:tc>
            </w:tr>
            <w:tr>
              <w:tc>
                <w:tcPr>
                  <w:tcW w:w="3686.4" w:type="dxa"/>
                </w:tcPr>
                <w:p>
                  <w:pPr>
                    <w:spacing w:after="220"/>
                  </w:pPr>
                  <w:hyperlink r:id="Re40ae7ce99d747f6" w:history="1">
                    <w:r>
                      <w:rPr>
                        <w:rStyle w:val="Hyperlink"/>
                        <w:rFonts w:ascii="Georgia" w:hAnsi="Georgia" w:cs="Georgia"/>
                        <w:sz w:val="24"/>
                        <w:szCs w:val="24"/>
                      </w:rPr>
                      <w:t>Corporate Governance and Public Company Representation</w:t>
                    </w:r>
                  </w:hyperlink>
                </w:p>
              </w:tc>
            </w:tr>
            <w:tr>
              <w:tc>
                <w:tcPr>
                  <w:tcW w:w="3686.4" w:type="dxa"/>
                </w:tcPr>
                <w:p>
                  <w:pPr>
                    <w:spacing w:after="220"/>
                  </w:pPr>
                  <w:hyperlink r:id="R0ddc8f235fe54abd" w:history="1">
                    <w:r>
                      <w:rPr>
                        <w:rStyle w:val="Hyperlink"/>
                        <w:rFonts w:ascii="Georgia" w:hAnsi="Georgia" w:cs="Georgia"/>
                        <w:sz w:val="24"/>
                        <w:szCs w:val="24"/>
                      </w:rPr>
                      <w:t>Infrastructure, Energy, Resources, and Projects</w:t>
                    </w:r>
                  </w:hyperlink>
                </w:p>
              </w:tc>
            </w:tr>
            <w:tr>
              <w:tc>
                <w:tcPr>
                  <w:tcW w:w="3686.4" w:type="dxa"/>
                </w:tcPr>
                <w:p>
                  <w:pPr>
                    <w:spacing w:after="220"/>
                  </w:pPr>
                  <w:hyperlink r:id="R6492db50da4640da" w:history="1">
                    <w:r>
                      <w:rPr>
                        <w:rStyle w:val="Hyperlink"/>
                        <w:rFonts w:ascii="Georgia" w:hAnsi="Georgia" w:cs="Georgia"/>
                        <w:sz w:val="24"/>
                        <w:szCs w:val="24"/>
                      </w:rPr>
                      <w:t>Energy Regulatory</w:t>
                    </w:r>
                  </w:hyperlink>
                </w:p>
              </w:tc>
            </w:tr>
            <w:tr>
              <w:tc>
                <w:tcPr>
                  <w:tcW w:w="3686.4" w:type="dxa"/>
                </w:tcPr>
                <w:p>
                  <w:pPr>
                    <w:spacing w:after="220"/>
                  </w:pPr>
                  <w:hyperlink r:id="R1fce588e86544eca" w:history="1">
                    <w:r>
                      <w:rPr>
                        <w:rStyle w:val="Hyperlink"/>
                        <w:rFonts w:ascii="Georgia" w:hAnsi="Georgia" w:cs="Georgia"/>
                        <w:sz w:val="24"/>
                        <w:szCs w:val="24"/>
                      </w:rPr>
                      <w:t>Administrative and Public Law</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f9f2f9c688ff420c" w:history="1">
                    <w:r>
                      <w:rPr>
                        <w:rStyle w:val="Hyperlink"/>
                        <w:rFonts w:ascii="Georgia" w:hAnsi="Georgia" w:cs="Georgia"/>
                        <w:sz w:val="24"/>
                        <w:szCs w:val="24"/>
                      </w:rPr>
                      <w:t>Energy</w:t>
                    </w:r>
                  </w:hyperlink>
                </w:p>
              </w:tc>
            </w:tr>
            <w:tr>
              <w:tc>
                <w:tcPr>
                  <w:tcW w:w="3686.4" w:type="dxa"/>
                </w:tcPr>
                <w:p>
                  <w:pPr>
                    <w:spacing w:after="220"/>
                  </w:pPr>
                  <w:hyperlink r:id="R14c01634df704fc5" w:history="1">
                    <w:r>
                      <w:rPr>
                        <w:rStyle w:val="Hyperlink"/>
                        <w:rFonts w:ascii="Georgia" w:hAnsi="Georgia" w:cs="Georgia"/>
                        <w:sz w:val="24"/>
                        <w:szCs w:val="24"/>
                      </w:rPr>
                      <w:t>Aerospace and Defense</w:t>
                    </w:r>
                  </w:hyperlink>
                </w:p>
              </w:tc>
            </w:tr>
            <w:tr>
              <w:tc>
                <w:tcPr>
                  <w:tcW w:w="3686.4" w:type="dxa"/>
                </w:tcPr>
                <w:p>
                  <w:pPr>
                    <w:spacing w:after="220"/>
                  </w:pPr>
                  <w:hyperlink r:id="Rf9f2f9c688ff420c" w:history="1">
                    <w:r>
                      <w:rPr>
                        <w:rStyle w:val="Hyperlink"/>
                        <w:rFonts w:ascii="Georgia" w:hAnsi="Georgia" w:cs="Georgia"/>
                        <w:sz w:val="24"/>
                        <w:szCs w:val="24"/>
                      </w:rPr>
                      <w:t>Energy</w:t>
                    </w:r>
                  </w:hyperlink>
                </w:p>
              </w:tc>
            </w:tr>
            <w:tr>
              <w:tc>
                <w:tcPr>
                  <w:tcW w:w="3686.4" w:type="dxa"/>
                </w:tcPr>
                <w:p>
                  <w:pPr>
                    <w:spacing w:after="220"/>
                  </w:pPr>
                  <w:hyperlink r:id="R539e1917afc44854" w:history="1">
                    <w:r>
                      <w:rPr>
                        <w:rStyle w:val="Hyperlink"/>
                        <w:rFonts w:ascii="Georgia" w:hAnsi="Georgia" w:cs="Georgia"/>
                        <w:sz w:val="24"/>
                        <w:szCs w:val="24"/>
                      </w:rPr>
                      <w:t>Sports, Media and Entertainment</w:t>
                    </w:r>
                  </w:hyperlink>
                </w:p>
              </w:tc>
            </w:tr>
            <w:tr>
              <w:tc>
                <w:tcPr>
                  <w:tcW w:w="3686.4" w:type="dxa"/>
                </w:tcPr>
                <w:p>
                  <w:pPr>
                    <w:spacing w:after="220"/>
                  </w:pPr>
                  <w:hyperlink r:id="R126c80552e7d45b2" w:history="1">
                    <w:r>
                      <w:rPr>
                        <w:rStyle w:val="Hyperlink"/>
                        <w:rFonts w:ascii="Georgia" w:hAnsi="Georgia" w:cs="Georgia"/>
                        <w:sz w:val="24"/>
                        <w:szCs w:val="24"/>
                      </w:rPr>
                      <w:t>Manufacturing and Industrials</w:t>
                    </w:r>
                  </w:hyperlink>
                </w:p>
              </w:tc>
            </w:tr>
            <w:tr>
              <w:tc>
                <w:tcPr>
                  <w:tcW w:w="3686.4" w:type="dxa"/>
                </w:tcPr>
                <w:p>
                  <w:pPr>
                    <w:spacing w:after="220"/>
                  </w:pPr>
                  <w:hyperlink r:id="R126c80552e7d45b2" w:history="1">
                    <w:r>
                      <w:rPr>
                        <w:rStyle w:val="Hyperlink"/>
                        <w:rFonts w:ascii="Georgia" w:hAnsi="Georgia" w:cs="Georgia"/>
                        <w:sz w:val="24"/>
                        <w:szCs w:val="24"/>
                      </w:rPr>
                      <w:t>Manufacturing and Industrials</w:t>
                    </w:r>
                  </w:hyperlink>
                </w:p>
              </w:tc>
            </w:tr>
            <w:tr>
              <w:tc>
                <w:tcPr>
                  <w:tcW w:w="3686.4" w:type="dxa"/>
                </w:tcPr>
                <w:p>
                  <w:pPr>
                    <w:spacing w:after="220"/>
                  </w:pPr>
                  <w:hyperlink r:id="Rb1696f1c55db47af" w:history="1">
                    <w:r>
                      <w:rPr>
                        <w:rStyle w:val="Hyperlink"/>
                        <w:rFonts w:ascii="Georgia" w:hAnsi="Georgia" w:cs="Georgia"/>
                        <w:sz w:val="24"/>
                        <w:szCs w:val="24"/>
                      </w:rPr>
                      <w:t>Real Estate</w:t>
                    </w:r>
                  </w:hyperlink>
                </w:p>
              </w:tc>
            </w:tr>
            <w:tr>
              <w:tc>
                <w:tcPr>
                  <w:tcW w:w="3686.4" w:type="dxa"/>
                </w:tcPr>
                <w:p>
                  <w:pPr>
                    <w:spacing w:after="220"/>
                  </w:pPr>
                  <w:hyperlink r:id="Rb1696f1c55db47af" w:history="1">
                    <w:r>
                      <w:rPr>
                        <w:rStyle w:val="Hyperlink"/>
                        <w:rFonts w:ascii="Georgia" w:hAnsi="Georgia" w:cs="Georgia"/>
                        <w:sz w:val="24"/>
                        <w:szCs w:val="24"/>
                      </w:rPr>
                      <w:t>Real Estate</w:t>
                    </w:r>
                  </w:hyperlink>
                </w:p>
              </w:tc>
            </w:tr>
            <w:tr>
              <w:tc>
                <w:tcPr>
                  <w:tcW w:w="3686.4" w:type="dxa"/>
                </w:tcPr>
                <w:p>
                  <w:pPr>
                    <w:spacing w:after="220"/>
                  </w:pPr>
                  <w:hyperlink r:id="R539e1917afc44854" w:history="1">
                    <w:r>
                      <w:rPr>
                        <w:rStyle w:val="Hyperlink"/>
                        <w:rFonts w:ascii="Georgia" w:hAnsi="Georgia" w:cs="Georgia"/>
                        <w:sz w:val="24"/>
                        <w:szCs w:val="24"/>
                      </w:rPr>
                      <w:t>Sports, Media and Entertainment</w:t>
                    </w:r>
                  </w:hyperlink>
                </w:p>
              </w:tc>
            </w:tr>
            <w:tr>
              <w:tc>
                <w:tcPr>
                  <w:tcW w:w="3686.4" w:type="dxa"/>
                </w:tcPr>
                <w:p>
                  <w:pPr>
                    <w:spacing w:after="220"/>
                  </w:pPr>
                  <w:hyperlink r:id="R14c01634df704fc5" w:history="1">
                    <w:r>
                      <w:rPr>
                        <w:rStyle w:val="Hyperlink"/>
                        <w:rFonts w:ascii="Georgia" w:hAnsi="Georgia" w:cs="Georgia"/>
                        <w:sz w:val="24"/>
                        <w:szCs w:val="24"/>
                      </w:rPr>
                      <w:t>Aerospace and Defense</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4081ee46cf064137" w:history="1">
                    <w:r>
                      <w:rPr>
                        <w:rStyle w:val="Hyperlink"/>
                        <w:rFonts w:ascii="Georgia" w:hAnsi="Georgia" w:cs="Georgia"/>
                        <w:sz w:val="24"/>
                        <w:szCs w:val="24"/>
                      </w:rPr>
                      <w:t>Cross-border Mergers and Acquisitions</w:t>
                    </w:r>
                  </w:hyperlink>
                </w:p>
              </w:tc>
            </w:tr>
            <w:tr>
              <w:tc>
                <w:tcPr>
                  <w:tcW w:w="3686.4" w:type="dxa"/>
                </w:tcPr>
                <w:p>
                  <w:pPr>
                    <w:spacing w:after="220"/>
                  </w:pPr>
                  <w:hyperlink r:id="Rd15d6940a7984cf5" w:history="1">
                    <w:r>
                      <w:rPr>
                        <w:rStyle w:val="Hyperlink"/>
                        <w:rFonts w:ascii="Georgia" w:hAnsi="Georgia" w:cs="Georgia"/>
                        <w:sz w:val="24"/>
                        <w:szCs w:val="24"/>
                      </w:rPr>
                      <w:t>Corporate and Commercial Transactions</w:t>
                    </w:r>
                  </w:hyperlink>
                </w:p>
              </w:tc>
            </w:tr>
            <w:tr>
              <w:tc>
                <w:tcPr>
                  <w:tcW w:w="3686.4" w:type="dxa"/>
                </w:tcPr>
                <w:p>
                  <w:pPr>
                    <w:spacing w:after="220"/>
                  </w:pPr>
                  <w:hyperlink r:id="R86d30927bd9c4cc8" w:history="1">
                    <w:r>
                      <w:rPr>
                        <w:rStyle w:val="Hyperlink"/>
                        <w:rFonts w:ascii="Georgia" w:hAnsi="Georgia" w:cs="Georgia"/>
                        <w:sz w:val="24"/>
                        <w:szCs w:val="24"/>
                      </w:rPr>
                      <w:t>Infrastructure/Energy M&amp;A and Joint Ventures</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Second State Exam in Law, Higher Regional Court of Hamburg, 2020</w:t>
                  </w:r>
                </w:p>
              </w:tc>
            </w:tr>
            <w:tr>
              <w:tc>
                <w:tcPr>
                  <w:tcW w:w="3686.4" w:type="dxa"/>
                </w:tcPr>
                <w:p>
                  <w:pPr>
                    <w:spacing w:after="220"/>
                  </w:pPr>
                  <w:r>
                    <w:rPr>
                      <w:lang w:val="en-US"/>
                      <w:rFonts w:ascii="Georgia" w:hAnsi="Georgia" w:cs="Georgia"/>
                      <w:u w:val="none"/>
                      <w:sz w:val="24"/>
                      <w:szCs w:val="24"/>
                      <w:color w:val="000000"/>
                    </w:rPr>
                    <w:t>First State Exam in Law, LMU Munich (Ludwig-Maximilians-Universität München), 2017</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p w:rsidR="0079721B" w:rsidRDefault="0079721B">
            <w:pPr>
              <w:rPr>
                <w:sz w:val="4"/>
                <w:szCs w:val="4"/>
              </w:rPr>
            </w:pPr>
          </w:p>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p w:rsidR="001A7332" w:rsidRPr="001A7332" w:rsidRDefault="001A7332">
            <w:pPr>
              <w:rPr>
                <w:sz w:val="4"/>
                <w:szCs w:val="4"/>
              </w:rPr>
            </w:pPr>
          </w:p>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09feeff6-b6e8-4db8-9d23-b8c3d2ff0a2f.jpeg" Id="R257a1f8049974f4a" /><Relationship Type="http://schemas.openxmlformats.org/officeDocument/2006/relationships/hyperlink" Target="mailto:joy.baur@hoganlovells.com" TargetMode="External" Id="Rc84fb666d1a04900" /><Relationship Type="http://schemas.openxmlformats.org/officeDocument/2006/relationships/hyperlink" Target="https://mc-7c5ead77-4153-4f21-9a29-b0c7-cm.azurewebsites.net//en/service/mergers-and-acquisitions" TargetMode="External" Id="Rb93125f921ec4ec1" /><Relationship Type="http://schemas.openxmlformats.org/officeDocument/2006/relationships/hyperlink" Target="https://mc-7c5ead77-4153-4f21-9a29-b0c7-cm.azurewebsites.net//en/service/joint-ventures" TargetMode="External" Id="R32f20b2a64264796" /><Relationship Type="http://schemas.openxmlformats.org/officeDocument/2006/relationships/hyperlink" Target="https://mc-7c5ead77-4153-4f21-9a29-b0c7-cm.azurewebsites.net//en/service/corporate-governance-and-public-company-representation" TargetMode="External" Id="Re40ae7ce99d747f6" /><Relationship Type="http://schemas.openxmlformats.org/officeDocument/2006/relationships/hyperlink" Target="https://mc-7c5ead77-4153-4f21-9a29-b0c7-cm.azurewebsites.net//en/service/infrastructure-energy-resources-and-projects" TargetMode="External" Id="R0ddc8f235fe54abd" /><Relationship Type="http://schemas.openxmlformats.org/officeDocument/2006/relationships/hyperlink" Target="https://mc-7c5ead77-4153-4f21-9a29-b0c7-cm.azurewebsites.net//en/service/energy-regulatory" TargetMode="External" Id="R6492db50da4640da" /><Relationship Type="http://schemas.openxmlformats.org/officeDocument/2006/relationships/hyperlink" Target="https://mc-7c5ead77-4153-4f21-9a29-b0c7-cm.azurewebsites.net/https://www.hlc.com/en/capabilities/practice-category-group/corporate-and-finance" TargetMode="External" Id="R1fce588e86544eca" /><Relationship Type="http://schemas.openxmlformats.org/officeDocument/2006/relationships/hyperlink" Target="https://mc-7c5ead77-4153-4f21-9a29-b0c7-cm.azurewebsites.net//en/sector/energy" TargetMode="External" Id="Rf9f2f9c688ff420c" /><Relationship Type="http://schemas.openxmlformats.org/officeDocument/2006/relationships/hyperlink" Target="https://mc-7c5ead77-4153-4f21-9a29-b0c7-cm.azurewebsites.net//en/sector/aerospace-and-defense" TargetMode="External" Id="R14c01634df704fc5" /><Relationship Type="http://schemas.openxmlformats.org/officeDocument/2006/relationships/hyperlink" Target="https://mc-7c5ead77-4153-4f21-9a29-b0c7-cm.azurewebsites.net//en/sector/sports-media-and-entertainment" TargetMode="External" Id="R539e1917afc44854" /><Relationship Type="http://schemas.openxmlformats.org/officeDocument/2006/relationships/hyperlink" Target="https://mc-7c5ead77-4153-4f21-9a29-b0c7-cm.azurewebsites.net//en/sector/manufacturing-and-industrials" TargetMode="External" Id="R126c80552e7d45b2" /><Relationship Type="http://schemas.openxmlformats.org/officeDocument/2006/relationships/hyperlink" Target="https://mc-7c5ead77-4153-4f21-9a29-b0c7-cm.azurewebsites.net//en/sector/real-estate" TargetMode="External" Id="Rb1696f1c55db47af" /><Relationship Type="http://schemas.openxmlformats.org/officeDocument/2006/relationships/hyperlink" Target="https://mc-7c5ead77-4153-4f21-9a29-b0c7-cm.azurewebsites.net//en/aof/cross-border-mergers-and-acquisitions" TargetMode="External" Id="R4081ee46cf064137" /><Relationship Type="http://schemas.openxmlformats.org/officeDocument/2006/relationships/hyperlink" Target="https://mc-7c5ead77-4153-4f21-9a29-b0c7-cm.azurewebsites.net/https://www.hoganlovells.com/en/capabilities/practice-category-group/global-regulatory" TargetMode="External" Id="Rd15d6940a7984cf5" /><Relationship Type="http://schemas.openxmlformats.org/officeDocument/2006/relationships/hyperlink" Target="https://mc-7c5ead77-4153-4f21-9a29-b0c7-cm.azurewebsites.net//en/aof/manda-and-joint-ventures" TargetMode="External" Id="R86d30927bd9c4cc8"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