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Dr. Alexander Koch</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Hamburg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Alexander Koch supports you in mergers, acquisitions, and other transactions with an emphasis on highly regulated industries, particularly the energy, aviation, and defense sectors. He regularly advises clients when they acquire or sell businesses or wish to establish a joint venture. He advises on structuring transactions, corporate reorganizations, and the relationships between shareholders, particularly in joint-venture projects.</w:t>
                  </w:r>
                  <w:r>
                    <w:br/>
                  </w:r>
                </w:p>
                <w:p>
                  <w:pPr>
                    <w:spacing w:line="276"/>
                  </w:pPr>
                  <w:r>
                    <w:rPr>
                      <w:rFonts w:ascii="Georgia" w:hAnsi="Georgia" w:cs="Georgia"/>
                      <w:sz w:val="24"/>
                      <w:szCs w:val="24"/>
                    </w:rPr>
                    <w:t>Alexander has worked alongside in-house counsel teams, including M&amp;A transactions, and acquired valuable industry sector knowledge. Alexander's practice comprises general corporate law and regulatory matters beyond transactional advice, particularly for energy law. He is a lecturer for energy law at the University of Applied Sciences of the Grisons.</w:t>
                  </w:r>
                  <w:r>
                    <w:br/>
                  </w:r>
                </w:p>
                <w:p>
                  <w:pPr>
                    <w:spacing w:line="276"/>
                  </w:pPr>
                  <w:r>
                    <w:rPr>
                      <w:rFonts w:ascii="Georgia" w:hAnsi="Georgia" w:cs="Georgia"/>
                      <w:sz w:val="24"/>
                      <w:szCs w:val="24"/>
                    </w:rPr>
                    <w:t>Alexander studied law in Osnabrueck and Leiden. He wrote his doctoral thesis on European and comparative antitrust law. During his legal traineeship, Alexander worked in the legal department of a leading German multinational engineering and electronics company in Singapore and for our office in Hamburg. He is the Local Personnel Partner at our office in Hamburg.</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Advising Helsing on the acquisition of Grob Aircraft SE.</w:t>
                  </w:r>
                  <w:r>
                    <w:rPr>
                      <w:lang w:val="en-US"/>
                      <w:u w:val="none"/>
                    </w:rPr>
                    <w:br/>
                  </w:r>
                  <w:r>
                    <w:rPr>
                      <w:lang w:val="en-US"/>
                      <w:u w:val="none"/>
                    </w:rPr>
                    <w:br/>
                  </w:r>
                  <w:r>
                    <w:rPr>
                      <w:lang w:val="en-US"/>
                      <w:rFonts w:ascii="Georgia" w:hAnsi="Georgia" w:cs="Georgia"/>
                      <w:u w:val="none"/>
                      <w:sz w:val="24"/>
                      <w:szCs w:val="24"/>
                      <w:color w:val="000000"/>
                    </w:rPr>
                    <w:t>Advising KIRKBI on the acquisition of a minority stake in AMBOSS in the context of a wider transaction led by KIRKBI and including several other investors with a total volume of EUR 240m.</w:t>
                  </w:r>
                  <w:r>
                    <w:rPr>
                      <w:lang w:val="en-US"/>
                      <w:u w:val="none"/>
                    </w:rPr>
                    <w:br/>
                  </w:r>
                  <w:r>
                    <w:rPr>
                      <w:lang w:val="en-US"/>
                      <w:u w:val="none"/>
                    </w:rPr>
                    <w:br/>
                  </w:r>
                  <w:r>
                    <w:rPr>
                      <w:lang w:val="en-US"/>
                      <w:rFonts w:ascii="Georgia" w:hAnsi="Georgia" w:cs="Georgia"/>
                      <w:u w:val="none"/>
                      <w:sz w:val="24"/>
                      <w:szCs w:val="24"/>
                      <w:color w:val="000000"/>
                    </w:rPr>
                    <w:t>Advising The Birch Group on the acquisition of the Blue Devils ice hockey club.</w:t>
                  </w:r>
                  <w:r>
                    <w:rPr>
                      <w:lang w:val="en-US"/>
                      <w:u w:val="none"/>
                    </w:rPr>
                    <w:br/>
                  </w:r>
                  <w:r>
                    <w:rPr>
                      <w:lang w:val="en-US"/>
                      <w:u w:val="none"/>
                    </w:rPr>
                    <w:br/>
                  </w:r>
                  <w:r>
                    <w:rPr>
                      <w:lang w:val="en-US"/>
                      <w:rFonts w:ascii="Georgia" w:hAnsi="Georgia" w:cs="Georgia"/>
                      <w:u w:val="none"/>
                      <w:sz w:val="24"/>
                      <w:szCs w:val="24"/>
                      <w:color w:val="000000"/>
                    </w:rPr>
                    <w:t>Advising National Space Company on the acquisition of UP42 GmbH, a Satellite Geospatial Data Company, from Airbus Defence and Space.</w:t>
                  </w:r>
                  <w:r>
                    <w:rPr>
                      <w:lang w:val="en-US"/>
                      <w:u w:val="none"/>
                    </w:rPr>
                    <w:br/>
                  </w:r>
                  <w:r>
                    <w:rPr>
                      <w:lang w:val="en-US"/>
                      <w:u w:val="none"/>
                    </w:rPr>
                    <w:br/>
                  </w:r>
                  <w:r>
                    <w:rPr>
                      <w:lang w:val="en-US"/>
                      <w:rFonts w:ascii="Georgia" w:hAnsi="Georgia" w:cs="Georgia"/>
                      <w:u w:val="none"/>
                      <w:sz w:val="24"/>
                      <w:szCs w:val="24"/>
                      <w:color w:val="000000"/>
                    </w:rPr>
                    <w:t>Advising Chubu Electric Power Co. Inc. on participation in a geothermal project in Geretsried, Germany.</w:t>
                  </w:r>
                  <w:r>
                    <w:rPr>
                      <w:lang w:val="en-US"/>
                      <w:u w:val="none"/>
                    </w:rPr>
                    <w:br/>
                  </w:r>
                  <w:r>
                    <w:rPr>
                      <w:lang w:val="en-US"/>
                      <w:u w:val="none"/>
                    </w:rPr>
                    <w:br/>
                  </w:r>
                  <w:r>
                    <w:rPr>
                      <w:lang w:val="en-US"/>
                      <w:rFonts w:ascii="Georgia" w:hAnsi="Georgia" w:cs="Georgia"/>
                      <w:u w:val="none"/>
                      <w:sz w:val="24"/>
                      <w:szCs w:val="24"/>
                      <w:color w:val="000000"/>
                    </w:rPr>
                    <w:t>Advising Encavis Asset Management AG on one of the largest solar parks in Germany (planned generation capacity of 260 MW).</w:t>
                  </w:r>
                  <w:r>
                    <w:rPr>
                      <w:lang w:val="en-US"/>
                      <w:u w:val="none"/>
                    </w:rPr>
                    <w:br/>
                  </w:r>
                  <w:r>
                    <w:rPr>
                      <w:lang w:val="en-US"/>
                      <w:u w:val="none"/>
                    </w:rPr>
                    <w:br/>
                  </w:r>
                  <w:r>
                    <w:rPr>
                      <w:lang w:val="en-US"/>
                      <w:rFonts w:ascii="Georgia" w:hAnsi="Georgia" w:cs="Georgia"/>
                      <w:u w:val="none"/>
                      <w:sz w:val="24"/>
                      <w:szCs w:val="24"/>
                      <w:color w:val="000000"/>
                    </w:rPr>
                    <w:t>Advising Deutsche Bank on a EUR 125 million Revolving Acquisition Facility for QUARTERBACK Energy Project GmbH.</w:t>
                  </w:r>
                  <w:r>
                    <w:rPr>
                      <w:lang w:val="en-US"/>
                      <w:u w:val="none"/>
                    </w:rPr>
                    <w:br/>
                  </w:r>
                  <w:r>
                    <w:rPr>
                      <w:lang w:val="en-US"/>
                      <w:u w:val="none"/>
                    </w:rPr>
                    <w:br/>
                  </w:r>
                  <w:r>
                    <w:rPr>
                      <w:lang w:val="en-US"/>
                      <w:rFonts w:ascii="Georgia" w:hAnsi="Georgia" w:cs="Georgia"/>
                      <w:u w:val="none"/>
                      <w:sz w:val="24"/>
                      <w:szCs w:val="24"/>
                      <w:color w:val="000000"/>
                    </w:rPr>
                    <w:t>Advising Banijay Germany on the acquisition of Sony Pictures Film- und Fernseh Produktions GmbH.</w:t>
                  </w:r>
                  <w:r>
                    <w:rPr>
                      <w:lang w:val="en-US"/>
                      <w:u w:val="none"/>
                    </w:rPr>
                    <w:br/>
                  </w:r>
                  <w:r>
                    <w:rPr>
                      <w:lang w:val="en-US"/>
                      <w:u w:val="none"/>
                    </w:rPr>
                    <w:br/>
                  </w:r>
                  <w:r>
                    <w:rPr>
                      <w:lang w:val="en-US"/>
                      <w:rFonts w:ascii="Georgia" w:hAnsi="Georgia" w:cs="Georgia"/>
                      <w:u w:val="none"/>
                      <w:sz w:val="24"/>
                      <w:szCs w:val="24"/>
                      <w:color w:val="000000"/>
                    </w:rPr>
                    <w:t>EB – Sustainable Investment Management (EB-SIM) and LHI Group on the acquisition of the Swedish wind farm project Aldermyrberget with a capacity of 71 MW.</w:t>
                  </w:r>
                  <w:r>
                    <w:rPr>
                      <w:lang w:val="en-US"/>
                      <w:u w:val="none"/>
                    </w:rPr>
                    <w:br/>
                  </w:r>
                  <w:r>
                    <w:rPr>
                      <w:lang w:val="en-US"/>
                      <w:u w:val="none"/>
                    </w:rPr>
                    <w:br/>
                  </w:r>
                  <w:r>
                    <w:rPr>
                      <w:lang w:val="en-US"/>
                      <w:rFonts w:ascii="Georgia" w:hAnsi="Georgia" w:cs="Georgia"/>
                      <w:u w:val="none"/>
                      <w:sz w:val="24"/>
                      <w:szCs w:val="24"/>
                      <w:color w:val="000000"/>
                    </w:rPr>
                    <w:t>Advising KIRKBI Invest A/S and William Demant Invest A/S on the sale of their indirect interests in the German offshore wind farm Borkum Riffgrund I with a deal value of EUR 350m.</w:t>
                  </w:r>
                  <w:r>
                    <w:rPr>
                      <w:lang w:val="en-US"/>
                      <w:u w:val="none"/>
                    </w:rPr>
                    <w:br/>
                  </w:r>
                  <w:r>
                    <w:rPr>
                      <w:lang w:val="en-US"/>
                      <w:u w:val="none"/>
                    </w:rPr>
                    <w:br/>
                  </w:r>
                  <w:r>
                    <w:rPr>
                      <w:lang w:val="en-US"/>
                      <w:rFonts w:ascii="Georgia" w:hAnsi="Georgia" w:cs="Georgia"/>
                      <w:u w:val="none"/>
                      <w:sz w:val="24"/>
                      <w:szCs w:val="24"/>
                      <w:color w:val="000000"/>
                    </w:rPr>
                    <w:t>Advising Encavis Asset Management on the acquisition of an onshore wind farm in Ireland.</w:t>
                  </w:r>
                  <w:r>
                    <w:rPr>
                      <w:lang w:val="en-US"/>
                      <w:u w:val="none"/>
                    </w:rPr>
                    <w:br/>
                  </w:r>
                  <w:r>
                    <w:rPr>
                      <w:lang w:val="en-US"/>
                      <w:u w:val="none"/>
                    </w:rPr>
                    <w:br/>
                  </w:r>
                  <w:r>
                    <w:rPr>
                      <w:lang w:val="en-US"/>
                      <w:rFonts w:ascii="Georgia" w:hAnsi="Georgia" w:cs="Georgia"/>
                      <w:u w:val="none"/>
                      <w:sz w:val="24"/>
                      <w:szCs w:val="24"/>
                      <w:color w:val="000000"/>
                    </w:rPr>
                    <w:t>Advising Endemol Shine Group Germany GmbH on the sale of their interests in W&amp;B Television KG &amp; Co. KG.</w:t>
                  </w:r>
                  <w:r>
                    <w:rPr>
                      <w:lang w:val="en-US"/>
                      <w:u w:val="none"/>
                    </w:rPr>
                    <w:br/>
                  </w:r>
                  <w:r>
                    <w:rPr>
                      <w:lang w:val="en-US"/>
                      <w:u w:val="none"/>
                    </w:rPr>
                    <w:br/>
                  </w:r>
                  <w:r>
                    <w:rPr>
                      <w:lang w:val="en-US"/>
                      <w:rFonts w:ascii="Georgia" w:hAnsi="Georgia" w:cs="Georgia"/>
                      <w:u w:val="none"/>
                      <w:sz w:val="24"/>
                      <w:szCs w:val="24"/>
                      <w:color w:val="000000"/>
                    </w:rPr>
                    <w:t>Advising Mitsubishi Corp. on the partial sale of its German offshore transmission business and a joint venture with Chubu Electric Power and Mitsubishi UFJ Lease and Finance.</w:t>
                  </w:r>
                  <w:r>
                    <w:rPr>
                      <w:lang w:val="en-US"/>
                      <w:u w:val="none"/>
                    </w:rPr>
                    <w:br/>
                  </w:r>
                  <w:r>
                    <w:rPr>
                      <w:lang w:val="en-US"/>
                      <w:u w:val="none"/>
                    </w:rPr>
                    <w:br/>
                  </w:r>
                  <w:r>
                    <w:rPr>
                      <w:lang w:val="en-US"/>
                      <w:rFonts w:ascii="Georgia" w:hAnsi="Georgia" w:cs="Georgia"/>
                      <w:u w:val="none"/>
                      <w:sz w:val="24"/>
                      <w:szCs w:val="24"/>
                      <w:color w:val="000000"/>
                    </w:rPr>
                    <w:t>Advising Northland Power Inc. on the acquisition of the German offshore wind farm project Deutsche Bucht.</w:t>
                  </w:r>
                  <w:r>
                    <w:rPr>
                      <w:lang w:val="en-US"/>
                      <w:u w:val="none"/>
                    </w:rPr>
                    <w:br/>
                  </w:r>
                  <w:r>
                    <w:rPr>
                      <w:lang w:val="en-US"/>
                      <w:u w:val="none"/>
                    </w:rPr>
                    <w:br/>
                  </w:r>
                  <w:r>
                    <w:rPr>
                      <w:lang w:val="en-US"/>
                      <w:rFonts w:ascii="Georgia" w:hAnsi="Georgia" w:cs="Georgia"/>
                      <w:u w:val="none"/>
                      <w:sz w:val="24"/>
                      <w:szCs w:val="24"/>
                      <w:color w:val="000000"/>
                    </w:rPr>
                    <w:t>Advising the former shareholders of Nordic Yards on the divestment of yards in Wismar, Warnemünde and Stralsund.</w:t>
                  </w:r>
                  <w:r>
                    <w:rPr>
                      <w:lang w:val="en-US"/>
                      <w:u w:val="none"/>
                    </w:rPr>
                    <w:br/>
                  </w:r>
                  <w:r>
                    <w:rPr>
                      <w:lang w:val="en-US"/>
                      <w:u w:val="none"/>
                    </w:rPr>
                    <w:br/>
                  </w:r>
                  <w:r>
                    <w:rPr>
                      <w:lang w:val="en-US"/>
                      <w:rFonts w:ascii="Georgia" w:hAnsi="Georgia" w:cs="Georgia"/>
                      <w:u w:val="none"/>
                      <w:sz w:val="24"/>
                      <w:szCs w:val="24"/>
                      <w:color w:val="000000"/>
                    </w:rPr>
                    <w:t>Advising Mitsubishi Corp. on the acquisition of a participation and entering into a joint venture with TenneT regarding the offshore grid connection of BorWin1 and BorWin2.</w:t>
                  </w:r>
                  <w:r>
                    <w:rPr>
                      <w:lang w:val="en-US"/>
                      <w:u w:val="none"/>
                    </w:rPr>
                    <w:br/>
                  </w:r>
                  <w:r>
                    <w:rPr>
                      <w:lang w:val="en-US"/>
                      <w:u w:val="none"/>
                    </w:rPr>
                    <w:br/>
                  </w:r>
                  <w:r>
                    <w:rPr>
                      <w:lang w:val="en-US"/>
                      <w:rFonts w:ascii="Georgia" w:hAnsi="Georgia" w:cs="Georgia"/>
                      <w:u w:val="none"/>
                      <w:sz w:val="24"/>
                      <w:szCs w:val="24"/>
                      <w:color w:val="000000"/>
                    </w:rPr>
                    <w:t>Advising Mitsubishi on the acquisition of a participation and entering into a joint venture with TenneT regarding the offshore grid connection of HelWin2 and DolWin2.</w:t>
                  </w:r>
                  <w:r>
                    <w:rPr>
                      <w:lang w:val="en-US"/>
                      <w:u w:val="none"/>
                    </w:rPr>
                    <w:br/>
                  </w:r>
                  <w:r>
                    <w:rPr>
                      <w:lang w:val="en-US"/>
                      <w:u w:val="none"/>
                    </w:rPr>
                    <w:br/>
                  </w:r>
                  <w:r>
                    <w:rPr>
                      <w:lang w:val="en-US"/>
                      <w:rFonts w:ascii="Georgia" w:hAnsi="Georgia" w:cs="Georgia"/>
                      <w:u w:val="none"/>
                      <w:sz w:val="24"/>
                      <w:szCs w:val="24"/>
                      <w:color w:val="000000"/>
                    </w:rPr>
                    <w:t>Advising a consortium of several Danish pension funds on the acquisition of a 50% stake in the German offshore wind farm project Gode Wind 2.</w:t>
                  </w:r>
                  <w:r>
                    <w:rPr>
                      <w:lang w:val="en-US"/>
                      <w:u w:val="none"/>
                    </w:rPr>
                    <w:br/>
                  </w:r>
                  <w:r>
                    <w:rPr>
                      <w:lang w:val="en-US"/>
                      <w:u w:val="none"/>
                    </w:rPr>
                    <w:br/>
                  </w:r>
                  <w:r>
                    <w:rPr>
                      <w:lang w:val="en-US"/>
                      <w:rFonts w:ascii="Georgia" w:hAnsi="Georgia" w:cs="Georgia"/>
                      <w:u w:val="none"/>
                      <w:sz w:val="24"/>
                      <w:szCs w:val="24"/>
                      <w:color w:val="000000"/>
                    </w:rPr>
                    <w:t>Advising Garbe Industrial Real Estate on the acquisition of a portfolio consisting of four logistic centers.</w:t>
                  </w:r>
                  <w:r>
                    <w:rPr>
                      <w:lang w:val="en-US"/>
                      <w:u w:val="none"/>
                    </w:rPr>
                    <w:br/>
                  </w:r>
                  <w:r>
                    <w:rPr>
                      <w:lang w:val="en-US"/>
                      <w:u w:val="none"/>
                    </w:rPr>
                    <w:br/>
                  </w:r>
                  <w:r>
                    <w:rPr>
                      <w:lang w:val="en-US"/>
                      <w:rFonts w:ascii="Georgia" w:hAnsi="Georgia" w:cs="Georgia"/>
                      <w:u w:val="none"/>
                      <w:sz w:val="24"/>
                      <w:szCs w:val="24"/>
                      <w:color w:val="000000"/>
                    </w:rPr>
                    <w:t>Advising the DZ Bank on the project financing of various onshore wind parks in Germany with a total capacity of over 200 MW.</w:t>
                  </w:r>
                  <w:r>
                    <w:rPr>
                      <w:lang w:val="en-US"/>
                      <w:u w:val="none"/>
                    </w:rPr>
                    <w:br/>
                  </w:r>
                  <w:r>
                    <w:rPr>
                      <w:lang w:val="en-US"/>
                      <w:u w:val="none"/>
                    </w:rPr>
                    <w:br/>
                  </w:r>
                  <w:r>
                    <w:rPr>
                      <w:lang w:val="en-US"/>
                      <w:rFonts w:ascii="Georgia" w:hAnsi="Georgia" w:cs="Georgia"/>
                      <w:u w:val="none"/>
                      <w:sz w:val="24"/>
                      <w:szCs w:val="24"/>
                      <w:color w:val="000000"/>
                    </w:rPr>
                    <w:t>Advising Mitsubishi Heavy Industries on its entry into a global joint venture of the businesses of Mitsubishi-Hitachi Metals Machinery and Siemens.</w:t>
                  </w:r>
                  <w:r>
                    <w:rPr>
                      <w:lang w:val="en-US"/>
                      <w:u w:val="none"/>
                    </w:rPr>
                    <w:br/>
                  </w:r>
                  <w:r>
                    <w:rPr>
                      <w:lang w:val="en-US"/>
                      <w:u w:val="none"/>
                    </w:rPr>
                    <w:br/>
                  </w:r>
                  <w:r>
                    <w:rPr>
                      <w:lang w:val="en-US"/>
                      <w:rFonts w:ascii="Georgia" w:hAnsi="Georgia" w:cs="Georgia"/>
                      <w:u w:val="none"/>
                      <w:sz w:val="24"/>
                      <w:szCs w:val="24"/>
                      <w:color w:val="000000"/>
                    </w:rPr>
                    <w:t>Advising Merkur Offshore GmbH on the project financing of the planned offshore wind farm Merkur.</w:t>
                  </w:r>
                  <w:r>
                    <w:rPr>
                      <w:lang w:val="en-US"/>
                      <w:u w:val="none"/>
                    </w:rPr>
                    <w:br/>
                  </w:r>
                  <w:r>
                    <w:rPr>
                      <w:lang w:val="en-US"/>
                      <w:u w:val="none"/>
                    </w:rPr>
                    <w:br/>
                  </w:r>
                  <w:r>
                    <w:rPr>
                      <w:lang w:val="en-US"/>
                      <w:rFonts w:ascii="Georgia" w:hAnsi="Georgia" w:cs="Georgia"/>
                      <w:u w:val="none"/>
                      <w:sz w:val="24"/>
                      <w:szCs w:val="24"/>
                      <w:color w:val="000000"/>
                    </w:rPr>
                    <w:t>Advising a leading Swiss energy company on the development of a gas and steam turbine power plant in Germany.</w:t>
                  </w:r>
                  <w:r>
                    <w:rPr>
                      <w:lang w:val="en-US"/>
                      <w:u w:val="none"/>
                    </w:rPr>
                    <w:br/>
                  </w:r>
                  <w:r>
                    <w:rPr>
                      <w:lang w:val="en-US"/>
                      <w:u w:val="none"/>
                    </w:rPr>
                    <w:br/>
                  </w:r>
                  <w:r>
                    <w:rPr>
                      <w:lang w:val="en-US"/>
                      <w:rFonts w:ascii="Georgia" w:hAnsi="Georgia" w:cs="Georgia"/>
                      <w:u w:val="none"/>
                      <w:sz w:val="24"/>
                      <w:szCs w:val="24"/>
                      <w:color w:val="000000"/>
                    </w:rPr>
                    <w:t>Advising a bank on the financing of various onshore wind farms, in particular with regard to regulatory and public law questions.</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Recommended lawyer for Corporate Law, </w:t>
                  </w:r>
                  <w:r>
                    <w:rPr>
                      <w:lang w:val="en-US"/>
                      <w:rFonts w:ascii="Georgia" w:hAnsi="Georgia" w:cs="Georgia"/>
                      <w:i/>
                      <w:u w:val="none"/>
                      <w:sz w:val="24"/>
                      <w:szCs w:val="24"/>
                      <w:color w:val="000000"/>
                    </w:rPr>
                    <w:t>Best Lawyers™ in Germany</w:t>
                  </w:r>
                  <w:r>
                    <w:rPr>
                      <w:rFonts w:ascii="Georgia" w:hAnsi="Georgia" w:cs="Georgia"/>
                      <w:sz w:val="24"/>
                      <w:szCs w:val="24"/>
                    </w:rPr>
                    <w:t>, 2026</w:t>
                  </w:r>
                </w:p>
              </w:tc>
            </w:tr>
            <w:tr>
              <w:tc>
                <w:tcPr>
                  <w:tcW w:w="5846.4" w:type="dxa"/>
                </w:tcPr>
                <w:p>
                  <w:pPr/>
                </w:p>
                <w:p>
                  <w:pPr>
                    <w:numPr>
                      <w:ilvl w:val="0"/>
                      <w:numId w:val="5"/>
                    </w:numPr>
                    <w:spacing w:after="0"/>
                  </w:pPr>
                  <w:r>
                    <w:rPr>
                      <w:rFonts w:ascii="Georgia" w:hAnsi="Georgia" w:cs="Georgia"/>
                      <w:sz w:val="24"/>
                      <w:szCs w:val="24"/>
                    </w:rPr>
                    <w:t xml:space="preserve">Recommended lawyer for Mergers and Acquisitions Law, </w:t>
                  </w:r>
                  <w:r>
                    <w:rPr>
                      <w:lang w:val="en-US"/>
                      <w:rFonts w:ascii="Georgia" w:hAnsi="Georgia" w:cs="Georgia"/>
                      <w:i/>
                      <w:u w:val="none"/>
                      <w:sz w:val="24"/>
                      <w:szCs w:val="24"/>
                      <w:color w:val="000000"/>
                    </w:rPr>
                    <w:t>Best Lawyers™ in Germany</w:t>
                  </w:r>
                  <w:r>
                    <w:rPr>
                      <w:rFonts w:ascii="Georgia" w:hAnsi="Georgia" w:cs="Georgia"/>
                      <w:sz w:val="24"/>
                      <w:szCs w:val="24"/>
                    </w:rPr>
                    <w:t>, 2026</w:t>
                  </w:r>
                </w:p>
              </w:tc>
            </w:tr>
            <w:tr>
              <w:tc>
                <w:tcPr>
                  <w:tcW w:w="5846.4" w:type="dxa"/>
                </w:tcPr>
                <w:p>
                  <w:pPr/>
                </w:p>
                <w:p>
                  <w:pPr>
                    <w:numPr>
                      <w:ilvl w:val="0"/>
                      <w:numId w:val="6"/>
                    </w:numPr>
                    <w:spacing w:after="0"/>
                  </w:pPr>
                  <w:r>
                    <w:rPr>
                      <w:rFonts w:ascii="Georgia" w:hAnsi="Georgia" w:cs="Georgia"/>
                      <w:sz w:val="24"/>
                      <w:szCs w:val="24"/>
                    </w:rPr>
                    <w:t xml:space="preserve">Recommended lawyer for Corporate Law, </w:t>
                  </w:r>
                  <w:r>
                    <w:rPr>
                      <w:lang w:val="en-US"/>
                      <w:rFonts w:ascii="Georgia" w:hAnsi="Georgia" w:cs="Georgia"/>
                      <w:i/>
                      <w:u w:val="none"/>
                      <w:sz w:val="24"/>
                      <w:szCs w:val="24"/>
                      <w:color w:val="000000"/>
                    </w:rPr>
                    <w:t>Best Lawyers™ in Germany</w:t>
                  </w:r>
                  <w:r>
                    <w:rPr>
                      <w:rFonts w:ascii="Georgia" w:hAnsi="Georgia" w:cs="Georgia"/>
                      <w:sz w:val="24"/>
                      <w:szCs w:val="24"/>
                    </w:rPr>
                    <w:t>, 2025</w:t>
                  </w:r>
                </w:p>
              </w:tc>
            </w:tr>
            <w:tr>
              <w:tc>
                <w:tcPr>
                  <w:tcW w:w="5846.4" w:type="dxa"/>
                </w:tcPr>
                <w:p>
                  <w:pPr/>
                </w:p>
                <w:p>
                  <w:pPr>
                    <w:numPr>
                      <w:ilvl w:val="0"/>
                      <w:numId w:val="7"/>
                    </w:numPr>
                    <w:spacing w:after="0"/>
                  </w:pPr>
                  <w:r>
                    <w:rPr>
                      <w:rFonts w:ascii="Georgia" w:hAnsi="Georgia" w:cs="Georgia"/>
                      <w:sz w:val="24"/>
                      <w:szCs w:val="24"/>
                    </w:rPr>
                    <w:t xml:space="preserve">Recommended lawyer for Energy Law, </w:t>
                  </w:r>
                  <w:r>
                    <w:rPr>
                      <w:lang w:val="en-US"/>
                      <w:rFonts w:ascii="Georgia" w:hAnsi="Georgia" w:cs="Georgia"/>
                      <w:i/>
                      <w:u w:val="none"/>
                      <w:sz w:val="24"/>
                      <w:szCs w:val="24"/>
                      <w:color w:val="000000"/>
                    </w:rPr>
                    <w:t>Best Lawyers™ in Germany</w:t>
                  </w:r>
                  <w:r>
                    <w:rPr>
                      <w:rFonts w:ascii="Georgia" w:hAnsi="Georgia" w:cs="Georgia"/>
                      <w:sz w:val="24"/>
                      <w:szCs w:val="24"/>
                    </w:rPr>
                    <w:t>, 2025</w:t>
                  </w:r>
                </w:p>
              </w:tc>
            </w:tr>
            <w:tr>
              <w:tc>
                <w:tcPr>
                  <w:tcW w:w="5846.4" w:type="dxa"/>
                </w:tcPr>
                <w:p>
                  <w:pPr/>
                </w:p>
                <w:p>
                  <w:pPr>
                    <w:numPr>
                      <w:ilvl w:val="0"/>
                      <w:numId w:val="8"/>
                    </w:numPr>
                    <w:spacing w:after="0"/>
                  </w:pPr>
                  <w:r>
                    <w:rPr>
                      <w:rFonts w:ascii="Georgia" w:hAnsi="Georgia" w:cs="Georgia"/>
                      <w:sz w:val="24"/>
                      <w:szCs w:val="24"/>
                    </w:rPr>
                    <w:t xml:space="preserve">Recommended lawyer for Mergers and Acquisitions Law, </w:t>
                  </w:r>
                  <w:r>
                    <w:rPr>
                      <w:lang w:val="en-US"/>
                      <w:rFonts w:ascii="Georgia" w:hAnsi="Georgia" w:cs="Georgia"/>
                      <w:i/>
                      <w:u w:val="none"/>
                      <w:sz w:val="24"/>
                      <w:szCs w:val="24"/>
                      <w:color w:val="000000"/>
                    </w:rPr>
                    <w:t>Best Lawyers™ in Germany</w:t>
                  </w:r>
                  <w:r>
                    <w:rPr>
                      <w:rFonts w:ascii="Georgia" w:hAnsi="Georgia" w:cs="Georgia"/>
                      <w:sz w:val="24"/>
                      <w:szCs w:val="24"/>
                    </w:rPr>
                    <w:t>, 2025</w:t>
                  </w:r>
                </w:p>
              </w:tc>
            </w:tr>
            <w:tr>
              <w:tc>
                <w:tcPr>
                  <w:tcW w:w="5846.4" w:type="dxa"/>
                </w:tcPr>
                <w:p>
                  <w:pPr/>
                </w:p>
                <w:p>
                  <w:pPr>
                    <w:numPr>
                      <w:ilvl w:val="0"/>
                      <w:numId w:val="9"/>
                    </w:numPr>
                    <w:spacing w:after="0"/>
                  </w:pPr>
                  <w:r>
                    <w:rPr>
                      <w:rFonts w:ascii="Georgia" w:hAnsi="Georgia" w:cs="Georgia"/>
                      <w:sz w:val="24"/>
                      <w:szCs w:val="24"/>
                    </w:rPr>
                    <w:t xml:space="preserve">Recommended lawyer for Corporate Law, </w:t>
                  </w:r>
                  <w:r>
                    <w:rPr>
                      <w:lang w:val="en-US"/>
                      <w:rFonts w:ascii="Georgia" w:hAnsi="Georgia" w:cs="Georgia"/>
                      <w:i/>
                      <w:u w:val="none"/>
                      <w:sz w:val="24"/>
                      <w:szCs w:val="24"/>
                      <w:color w:val="000000"/>
                    </w:rPr>
                    <w:t>Best Lawyers™ in Germany</w:t>
                  </w:r>
                  <w:r>
                    <w:rPr>
                      <w:rFonts w:ascii="Georgia" w:hAnsi="Georgia" w:cs="Georgia"/>
                      <w:sz w:val="24"/>
                      <w:szCs w:val="24"/>
                    </w:rPr>
                    <w:t>, 2024</w:t>
                  </w:r>
                </w:p>
              </w:tc>
            </w:tr>
            <w:tr>
              <w:tc>
                <w:tcPr>
                  <w:tcW w:w="5846.4" w:type="dxa"/>
                </w:tcPr>
                <w:p>
                  <w:pPr/>
                </w:p>
                <w:p>
                  <w:pPr>
                    <w:numPr>
                      <w:ilvl w:val="0"/>
                      <w:numId w:val="10"/>
                    </w:numPr>
                    <w:spacing w:after="0"/>
                  </w:pPr>
                  <w:r>
                    <w:rPr>
                      <w:rFonts w:ascii="Georgia" w:hAnsi="Georgia" w:cs="Georgia"/>
                      <w:sz w:val="24"/>
                      <w:szCs w:val="24"/>
                    </w:rPr>
                    <w:t xml:space="preserve">Recommended lawyer for Mergers and Acquisitions Law, </w:t>
                  </w:r>
                  <w:r>
                    <w:rPr>
                      <w:lang w:val="en-US"/>
                      <w:rFonts w:ascii="Georgia" w:hAnsi="Georgia" w:cs="Georgia"/>
                      <w:i/>
                      <w:u w:val="none"/>
                      <w:sz w:val="24"/>
                      <w:szCs w:val="24"/>
                      <w:color w:val="000000"/>
                    </w:rPr>
                    <w:t>Best Lawyers™ in Germany</w:t>
                  </w:r>
                  <w:r>
                    <w:rPr>
                      <w:rFonts w:ascii="Georgia" w:hAnsi="Georgia" w:cs="Georgia"/>
                      <w:sz w:val="24"/>
                      <w:szCs w:val="24"/>
                    </w:rPr>
                    <w:t>, 2024</w:t>
                  </w:r>
                </w:p>
              </w:tc>
            </w:tr>
            <w:tr>
              <w:tc>
                <w:tcPr>
                  <w:tcW w:w="5846.4" w:type="dxa"/>
                </w:tcPr>
                <w:p>
                  <w:pPr/>
                </w:p>
                <w:p>
                  <w:pPr>
                    <w:numPr>
                      <w:ilvl w:val="0"/>
                      <w:numId w:val="11"/>
                    </w:numPr>
                    <w:spacing w:after="0"/>
                  </w:pPr>
                  <w:r>
                    <w:rPr>
                      <w:rFonts w:ascii="Georgia" w:hAnsi="Georgia" w:cs="Georgia"/>
                      <w:sz w:val="24"/>
                      <w:szCs w:val="24"/>
                    </w:rPr>
                    <w:t xml:space="preserve">Recommended lawyer for Mergers and Acquisitions Law, </w:t>
                  </w:r>
                  <w:r>
                    <w:rPr>
                      <w:lang w:val="en-US"/>
                      <w:rFonts w:ascii="Georgia" w:hAnsi="Georgia" w:cs="Georgia"/>
                      <w:i/>
                      <w:u w:val="none"/>
                      <w:sz w:val="24"/>
                      <w:szCs w:val="24"/>
                      <w:color w:val="000000"/>
                    </w:rPr>
                    <w:t>Best Lawyers™ in Germany</w:t>
                  </w:r>
                  <w:r>
                    <w:rPr>
                      <w:rFonts w:ascii="Georgia" w:hAnsi="Georgia" w:cs="Georgia"/>
                      <w:sz w:val="24"/>
                      <w:szCs w:val="24"/>
                    </w:rPr>
                    <w:t>, 2023</w:t>
                  </w:r>
                </w:p>
              </w:tc>
            </w:tr>
            <w:tr>
              <w:tc>
                <w:tcPr>
                  <w:tcW w:w="5846.4" w:type="dxa"/>
                </w:tcPr>
                <w:p>
                  <w:pPr/>
                </w:p>
                <w:p>
                  <w:pPr>
                    <w:numPr>
                      <w:ilvl w:val="0"/>
                      <w:numId w:val="12"/>
                    </w:numPr>
                    <w:spacing w:after="0"/>
                  </w:pPr>
                  <w:r>
                    <w:rPr>
                      <w:rFonts w:ascii="Georgia" w:hAnsi="Georgia" w:cs="Georgia"/>
                      <w:sz w:val="24"/>
                      <w:szCs w:val="24"/>
                    </w:rPr>
                    <w:t xml:space="preserve">Recommended lawyer for sector focus: Energy / Energy transactions, </w:t>
                  </w:r>
                  <w:r>
                    <w:rPr>
                      <w:lang w:val="en-US"/>
                      <w:rFonts w:ascii="Georgia" w:hAnsi="Georgia" w:cs="Georgia"/>
                      <w:i/>
                      <w:u w:val="none"/>
                      <w:sz w:val="24"/>
                      <w:szCs w:val="24"/>
                      <w:color w:val="000000"/>
                    </w:rPr>
                    <w:t>Legal 500 Germany</w:t>
                  </w:r>
                  <w:r>
                    <w:rPr>
                      <w:rFonts w:ascii="Georgia" w:hAnsi="Georgia" w:cs="Georgia"/>
                      <w:sz w:val="24"/>
                      <w:szCs w:val="24"/>
                    </w:rPr>
                    <w:t>, 2022</w:t>
                  </w:r>
                </w:p>
              </w:tc>
            </w:tr>
            <w:tr>
              <w:tc>
                <w:tcPr>
                  <w:tcW w:w="5846.4" w:type="dxa"/>
                </w:tcPr>
                <w:p>
                  <w:pPr/>
                </w:p>
                <w:p>
                  <w:pPr>
                    <w:numPr>
                      <w:ilvl w:val="0"/>
                      <w:numId w:val="13"/>
                    </w:numPr>
                    <w:spacing w:after="0"/>
                  </w:pPr>
                  <w:r>
                    <w:rPr>
                      <w:rFonts w:ascii="Georgia" w:hAnsi="Georgia" w:cs="Georgia"/>
                      <w:sz w:val="24"/>
                      <w:szCs w:val="24"/>
                    </w:rPr>
                    <w:t xml:space="preserve">Recommended lawyer for public law, </w:t>
                  </w:r>
                  <w:r>
                    <w:rPr>
                      <w:lang w:val="en-US"/>
                      <w:rFonts w:ascii="Georgia" w:hAnsi="Georgia" w:cs="Georgia"/>
                      <w:i/>
                      <w:u w:val="none"/>
                      <w:sz w:val="24"/>
                      <w:szCs w:val="24"/>
                      <w:color w:val="000000"/>
                    </w:rPr>
                    <w:t>Legal 500 Germany</w:t>
                  </w:r>
                  <w:r>
                    <w:rPr>
                      <w:rFonts w:ascii="Georgia" w:hAnsi="Georgia" w:cs="Georgia"/>
                      <w:sz w:val="24"/>
                      <w:szCs w:val="24"/>
                    </w:rPr>
                    <w:t>, 2022</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Webinar</w:t>
                  </w:r>
                  <w:r>
                    <w:rPr>
                      <w:rFonts w:ascii="Georgia" w:hAnsi="Georgia" w:cs="Georgia"/>
                      <w:sz w:val="24"/>
                      <w:szCs w:val="24"/>
                    </w:rPr>
                    <w:br/>
                  </w:r>
                  <w:r>
                    <w:rPr>
                      <w:rFonts w:ascii="Georgia" w:hAnsi="Georgia" w:cs="Georgia"/>
                      <w:sz w:val="24"/>
                      <w:szCs w:val="24"/>
                    </w:rPr>
                    <w:t>Germany’s Defense Sector – Opportunities and Challenges</w:t>
                  </w:r>
                  <w:r>
                    <w:rPr>
                      <w:rFonts w:ascii="Georgia" w:hAnsi="Georgia" w:cs="Georgia"/>
                      <w:sz w:val="20"/>
                      <w:szCs w:val="20"/>
                    </w:rPr>
                    <w:br/>
                  </w:r>
                  <w:r>
                    <w:rPr>
                      <w:rFonts w:ascii="Georgia" w:hAnsi="Georgia" w:cs="Georgia"/>
                      <w:sz w:val="20"/>
                      <w:szCs w:val="20"/>
                    </w:rPr>
                    <w:t>18 September 2025 I 8.00 - 9.00 (PDT) I 11.00 - 12.00 (EDT) I 4.00 - 5.00 (BST) I 5.00 - 6.00 (CEST)</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Helsing on the restructuring into an SE holding company</w:t>
                  </w:r>
                  <w:r>
                    <w:rPr>
                      <w:rFonts w:ascii="Georgia" w:hAnsi="Georgia" w:cs="Georgia"/>
                      <w:sz w:val="20"/>
                      <w:szCs w:val="20"/>
                    </w:rPr>
                    <w:br/>
                  </w:r>
                  <w:r>
                    <w:rPr>
                      <w:rFonts w:ascii="Georgia" w:hAnsi="Georgia" w:cs="Georgia"/>
                      <w:sz w:val="20"/>
                      <w:szCs w:val="20"/>
                    </w:rPr>
                    <w:t>29 August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advised Triton and its portfolio company Hanab on their EUR605 million TLB refinancing</w:t>
                  </w:r>
                  <w:r>
                    <w:rPr>
                      <w:rFonts w:ascii="Georgia" w:hAnsi="Georgia" w:cs="Georgia"/>
                      <w:sz w:val="20"/>
                      <w:szCs w:val="20"/>
                    </w:rPr>
                    <w:br/>
                  </w:r>
                  <w:r>
                    <w:rPr>
                      <w:rFonts w:ascii="Georgia" w:hAnsi="Georgia" w:cs="Georgia"/>
                      <w:sz w:val="20"/>
                      <w:szCs w:val="20"/>
                    </w:rPr>
                    <w:t>09 July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Driving Innovation in Aerospace and Defence for Europe: Hogan Lovells advises Helsing on the acquisition of Grob Aircraft</w:t>
                  </w:r>
                  <w:r>
                    <w:rPr>
                      <w:rFonts w:ascii="Georgia" w:hAnsi="Georgia" w:cs="Georgia"/>
                      <w:sz w:val="20"/>
                      <w:szCs w:val="20"/>
                    </w:rPr>
                    <w:br/>
                  </w:r>
                  <w:r>
                    <w:rPr>
                      <w:rFonts w:ascii="Georgia" w:hAnsi="Georgia" w:cs="Georgia"/>
                      <w:sz w:val="20"/>
                      <w:szCs w:val="20"/>
                    </w:rPr>
                    <w:t>05 June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KIRKBI on the acquisition of a minority stake in AMBOSS</w:t>
                  </w:r>
                  <w:r>
                    <w:rPr>
                      <w:rFonts w:ascii="Georgia" w:hAnsi="Georgia" w:cs="Georgia"/>
                      <w:sz w:val="20"/>
                      <w:szCs w:val="20"/>
                    </w:rPr>
                    <w:br/>
                  </w:r>
                  <w:r>
                    <w:rPr>
                      <w:rFonts w:ascii="Georgia" w:hAnsi="Georgia" w:cs="Georgia"/>
                      <w:sz w:val="20"/>
                      <w:szCs w:val="20"/>
                    </w:rPr>
                    <w:t>01 April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The Birch Group on the acquisition of the Blue Devils ice hockey club</w:t>
                  </w:r>
                  <w:r>
                    <w:rPr>
                      <w:rFonts w:ascii="Georgia" w:hAnsi="Georgia" w:cs="Georgia"/>
                      <w:sz w:val="20"/>
                      <w:szCs w:val="20"/>
                    </w:rPr>
                    <w:br/>
                  </w:r>
                  <w:r>
                    <w:rPr>
                      <w:rFonts w:ascii="Georgia" w:hAnsi="Georgia" w:cs="Georgia"/>
                      <w:sz w:val="20"/>
                      <w:szCs w:val="20"/>
                    </w:rPr>
                    <w:t>05 March 2025</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34583db4544f6b"/>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+49 40 419 93 169</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+49 40 419 93 200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5ce2cf0e1d89489d" w:history="1">
                    <w:r>
                      <w:rPr>
                        <w:rStyle w:val="Hyperlink"/>
                        <w:rFonts w:ascii="Georgia" w:hAnsi="Georgia" w:cs="Georgia"/>
                        <w:sz w:val="22"/>
                        <w:szCs w:val="22"/>
                        <w:u w:val="none"/>
                      </w:rPr>
                      <w:t>alexander.koch@hoganlovells.com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Dutch</w:t>
                  </w:r>
                </w:p>
              </w:tc>
            </w:tr>
            <w:tr>
              <w:tc>
                <w:tcPr>
                  <w:tcW w:w="3686.4" w:type="dxa"/>
                </w:tcPr>
                <w:p>
                  <w:pPr>
                    <w:spacing w:after="220"/>
                  </w:pPr>
                  <w:r>
                    <w:rPr>
                      <w:lang w:val="en-US"/>
                      <w:rFonts w:ascii="Georgia" w:hAnsi="Georgia" w:cs="Georgia"/>
                      <w:u w:val="none"/>
                      <w:sz w:val="24"/>
                      <w:szCs w:val="24"/>
                      <w:color w:val="000000"/>
                    </w:rPr>
                    <w:t>German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0ec2cb10d6f74029" w:history="1">
                    <w:r>
                      <w:rPr>
                        <w:rStyle w:val="Hyperlink"/>
                        <w:rFonts w:ascii="Georgia" w:hAnsi="Georgia" w:cs="Georgia"/>
                        <w:sz w:val="24"/>
                        <w:szCs w:val="24"/>
                      </w:rPr>
                      <w:t>Mergers and Acquisitions</w:t>
                    </w:r>
                  </w:hyperlink>
                </w:p>
              </w:tc>
            </w:tr>
            <w:tr>
              <w:tc>
                <w:tcPr>
                  <w:tcW w:w="3686.4" w:type="dxa"/>
                </w:tcPr>
                <w:p>
                  <w:pPr>
                    <w:spacing w:after="220"/>
                  </w:pPr>
                  <w:hyperlink r:id="R0ec2cb10d6f74029" w:history="1">
                    <w:r>
                      <w:rPr>
                        <w:rStyle w:val="Hyperlink"/>
                        <w:rFonts w:ascii="Georgia" w:hAnsi="Georgia" w:cs="Georgia"/>
                        <w:sz w:val="24"/>
                        <w:szCs w:val="24"/>
                      </w:rPr>
                      <w:t>Mergers and Acquisitions</w:t>
                    </w:r>
                  </w:hyperlink>
                </w:p>
              </w:tc>
            </w:tr>
            <w:tr>
              <w:tc>
                <w:tcPr>
                  <w:tcW w:w="3686.4" w:type="dxa"/>
                </w:tcPr>
                <w:p>
                  <w:pPr>
                    <w:spacing w:after="220"/>
                  </w:pPr>
                  <w:hyperlink r:id="R94e5deb2d9fc4f08" w:history="1">
                    <w:r>
                      <w:rPr>
                        <w:rStyle w:val="Hyperlink"/>
                        <w:rFonts w:ascii="Georgia" w:hAnsi="Georgia" w:cs="Georgia"/>
                        <w:sz w:val="24"/>
                        <w:szCs w:val="24"/>
                      </w:rPr>
                      <w:t>Joint Ventures</w:t>
                    </w:r>
                  </w:hyperlink>
                </w:p>
              </w:tc>
            </w:tr>
            <w:tr>
              <w:tc>
                <w:tcPr>
                  <w:tcW w:w="3686.4" w:type="dxa"/>
                </w:tcPr>
                <w:p>
                  <w:pPr>
                    <w:spacing w:after="220"/>
                  </w:pPr>
                  <w:hyperlink r:id="R3fa6caa4f612451c" w:history="1">
                    <w:r>
                      <w:rPr>
                        <w:rStyle w:val="Hyperlink"/>
                        <w:rFonts w:ascii="Georgia" w:hAnsi="Georgia" w:cs="Georgia"/>
                        <w:sz w:val="24"/>
                        <w:szCs w:val="24"/>
                      </w:rPr>
                      <w:t>Corporate Governance and Public Company Representation</w:t>
                    </w:r>
                  </w:hyperlink>
                </w:p>
              </w:tc>
            </w:tr>
            <w:tr>
              <w:tc>
                <w:tcPr>
                  <w:tcW w:w="3686.4" w:type="dxa"/>
                </w:tcPr>
                <w:p>
                  <w:pPr>
                    <w:spacing w:after="220"/>
                  </w:pPr>
                  <w:hyperlink r:id="Rec288574e1fb4d8e" w:history="1">
                    <w:r>
                      <w:rPr>
                        <w:rStyle w:val="Hyperlink"/>
                        <w:rFonts w:ascii="Georgia" w:hAnsi="Georgia" w:cs="Georgia"/>
                        <w:sz w:val="24"/>
                        <w:szCs w:val="24"/>
                      </w:rPr>
                      <w:t>Infrastructure, Energy, Resources, and Projects</w:t>
                    </w:r>
                  </w:hyperlink>
                </w:p>
              </w:tc>
            </w:tr>
            <w:tr>
              <w:tc>
                <w:tcPr>
                  <w:tcW w:w="3686.4" w:type="dxa"/>
                </w:tcPr>
                <w:p>
                  <w:pPr>
                    <w:spacing w:after="220"/>
                  </w:pPr>
                  <w:hyperlink r:id="R9cee3425868241fe" w:history="1">
                    <w:r>
                      <w:rPr>
                        <w:rStyle w:val="Hyperlink"/>
                        <w:rFonts w:ascii="Georgia" w:hAnsi="Georgia" w:cs="Georgia"/>
                        <w:sz w:val="24"/>
                        <w:szCs w:val="24"/>
                      </w:rPr>
                      <w:t>Energy Regulatory</w:t>
                    </w:r>
                  </w:hyperlink>
                </w:p>
              </w:tc>
            </w:tr>
            <w:tr>
              <w:tc>
                <w:tcPr>
                  <w:tcW w:w="3686.4" w:type="dxa"/>
                </w:tcPr>
                <w:p>
                  <w:pPr>
                    <w:spacing w:after="220"/>
                  </w:pPr>
                  <w:hyperlink r:id="Rc6d33083f39e42b8" w:history="1">
                    <w:r>
                      <w:rPr>
                        <w:rStyle w:val="Hyperlink"/>
                        <w:rFonts w:ascii="Georgia" w:hAnsi="Georgia" w:cs="Georgia"/>
                        <w:sz w:val="24"/>
                        <w:szCs w:val="24"/>
                      </w:rPr>
                      <w:t>Administrative and Public Law</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abcfdea4aeb041f7" w:history="1">
                    <w:r>
                      <w:rPr>
                        <w:rStyle w:val="Hyperlink"/>
                        <w:rFonts w:ascii="Georgia" w:hAnsi="Georgia" w:cs="Georgia"/>
                        <w:sz w:val="24"/>
                        <w:szCs w:val="24"/>
                      </w:rPr>
                      <w:t>Energy</w:t>
                    </w:r>
                  </w:hyperlink>
                </w:p>
              </w:tc>
            </w:tr>
            <w:tr>
              <w:tc>
                <w:tcPr>
                  <w:tcW w:w="3686.4" w:type="dxa"/>
                </w:tcPr>
                <w:p>
                  <w:pPr>
                    <w:spacing w:after="220"/>
                  </w:pPr>
                  <w:hyperlink r:id="R2221ca5caf414664" w:history="1">
                    <w:r>
                      <w:rPr>
                        <w:rStyle w:val="Hyperlink"/>
                        <w:rFonts w:ascii="Georgia" w:hAnsi="Georgia" w:cs="Georgia"/>
                        <w:sz w:val="24"/>
                        <w:szCs w:val="24"/>
                      </w:rPr>
                      <w:t>Aerospace and Defense</w:t>
                    </w:r>
                  </w:hyperlink>
                </w:p>
              </w:tc>
            </w:tr>
            <w:tr>
              <w:tc>
                <w:tcPr>
                  <w:tcW w:w="3686.4" w:type="dxa"/>
                </w:tcPr>
                <w:p>
                  <w:pPr>
                    <w:spacing w:after="220"/>
                  </w:pPr>
                  <w:hyperlink r:id="Rabcfdea4aeb041f7" w:history="1">
                    <w:r>
                      <w:rPr>
                        <w:rStyle w:val="Hyperlink"/>
                        <w:rFonts w:ascii="Georgia" w:hAnsi="Georgia" w:cs="Georgia"/>
                        <w:sz w:val="24"/>
                        <w:szCs w:val="24"/>
                      </w:rPr>
                      <w:t>Energy</w:t>
                    </w:r>
                  </w:hyperlink>
                </w:p>
              </w:tc>
            </w:tr>
            <w:tr>
              <w:tc>
                <w:tcPr>
                  <w:tcW w:w="3686.4" w:type="dxa"/>
                </w:tcPr>
                <w:p>
                  <w:pPr>
                    <w:spacing w:after="220"/>
                  </w:pPr>
                  <w:hyperlink r:id="R3a9d9bdec4dc4a9e" w:history="1">
                    <w:r>
                      <w:rPr>
                        <w:rStyle w:val="Hyperlink"/>
                        <w:rFonts w:ascii="Georgia" w:hAnsi="Georgia" w:cs="Georgia"/>
                        <w:sz w:val="24"/>
                        <w:szCs w:val="24"/>
                      </w:rPr>
                      <w:t>Sports, Media and Entertainment</w:t>
                    </w:r>
                  </w:hyperlink>
                </w:p>
              </w:tc>
            </w:tr>
            <w:tr>
              <w:tc>
                <w:tcPr>
                  <w:tcW w:w="3686.4" w:type="dxa"/>
                </w:tcPr>
                <w:p>
                  <w:pPr>
                    <w:spacing w:after="220"/>
                  </w:pPr>
                  <w:hyperlink r:id="Rd960fe764a974bd5" w:history="1">
                    <w:r>
                      <w:rPr>
                        <w:rStyle w:val="Hyperlink"/>
                        <w:rFonts w:ascii="Georgia" w:hAnsi="Georgia" w:cs="Georgia"/>
                        <w:sz w:val="24"/>
                        <w:szCs w:val="24"/>
                      </w:rPr>
                      <w:t>Manufacturing and Industrials</w:t>
                    </w:r>
                  </w:hyperlink>
                </w:p>
              </w:tc>
            </w:tr>
            <w:tr>
              <w:tc>
                <w:tcPr>
                  <w:tcW w:w="3686.4" w:type="dxa"/>
                </w:tcPr>
                <w:p>
                  <w:pPr>
                    <w:spacing w:after="220"/>
                  </w:pPr>
                  <w:hyperlink r:id="Rd960fe764a974bd5" w:history="1">
                    <w:r>
                      <w:rPr>
                        <w:rStyle w:val="Hyperlink"/>
                        <w:rFonts w:ascii="Georgia" w:hAnsi="Georgia" w:cs="Georgia"/>
                        <w:sz w:val="24"/>
                        <w:szCs w:val="24"/>
                      </w:rPr>
                      <w:t>Manufacturing and Industrials</w:t>
                    </w:r>
                  </w:hyperlink>
                </w:p>
              </w:tc>
            </w:tr>
            <w:tr>
              <w:tc>
                <w:tcPr>
                  <w:tcW w:w="3686.4" w:type="dxa"/>
                </w:tcPr>
                <w:p>
                  <w:pPr>
                    <w:spacing w:after="220"/>
                  </w:pPr>
                  <w:hyperlink r:id="R48ea1fa7d76d41ed" w:history="1">
                    <w:r>
                      <w:rPr>
                        <w:rStyle w:val="Hyperlink"/>
                        <w:rFonts w:ascii="Georgia" w:hAnsi="Georgia" w:cs="Georgia"/>
                        <w:sz w:val="24"/>
                        <w:szCs w:val="24"/>
                      </w:rPr>
                      <w:t>Real Estate</w:t>
                    </w:r>
                  </w:hyperlink>
                </w:p>
              </w:tc>
            </w:tr>
            <w:tr>
              <w:tc>
                <w:tcPr>
                  <w:tcW w:w="3686.4" w:type="dxa"/>
                </w:tcPr>
                <w:p>
                  <w:pPr>
                    <w:spacing w:after="220"/>
                  </w:pPr>
                  <w:hyperlink r:id="R48ea1fa7d76d41ed" w:history="1">
                    <w:r>
                      <w:rPr>
                        <w:rStyle w:val="Hyperlink"/>
                        <w:rFonts w:ascii="Georgia" w:hAnsi="Georgia" w:cs="Georgia"/>
                        <w:sz w:val="24"/>
                        <w:szCs w:val="24"/>
                      </w:rPr>
                      <w:t>Real Estate</w:t>
                    </w:r>
                  </w:hyperlink>
                </w:p>
              </w:tc>
            </w:tr>
            <w:tr>
              <w:tc>
                <w:tcPr>
                  <w:tcW w:w="3686.4" w:type="dxa"/>
                </w:tcPr>
                <w:p>
                  <w:pPr>
                    <w:spacing w:after="220"/>
                  </w:pPr>
                  <w:hyperlink r:id="R3a9d9bdec4dc4a9e" w:history="1">
                    <w:r>
                      <w:rPr>
                        <w:rStyle w:val="Hyperlink"/>
                        <w:rFonts w:ascii="Georgia" w:hAnsi="Georgia" w:cs="Georgia"/>
                        <w:sz w:val="24"/>
                        <w:szCs w:val="24"/>
                      </w:rPr>
                      <w:t>Sports, Media and Entertainment</w:t>
                    </w:r>
                  </w:hyperlink>
                </w:p>
              </w:tc>
            </w:tr>
            <w:tr>
              <w:tc>
                <w:tcPr>
                  <w:tcW w:w="3686.4" w:type="dxa"/>
                </w:tcPr>
                <w:p>
                  <w:pPr>
                    <w:spacing w:after="220"/>
                  </w:pPr>
                  <w:hyperlink r:id="R2221ca5caf414664" w:history="1">
                    <w:r>
                      <w:rPr>
                        <w:rStyle w:val="Hyperlink"/>
                        <w:rFonts w:ascii="Georgia" w:hAnsi="Georgia" w:cs="Georgia"/>
                        <w:sz w:val="24"/>
                        <w:szCs w:val="24"/>
                      </w:rPr>
                      <w:t>Aerospace and Defense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afa13f3548d0401c" w:history="1">
                    <w:r>
                      <w:rPr>
                        <w:rStyle w:val="Hyperlink"/>
                        <w:rFonts w:ascii="Georgia" w:hAnsi="Georgia" w:cs="Georgia"/>
                        <w:sz w:val="24"/>
                        <w:szCs w:val="24"/>
                      </w:rPr>
                      <w:t>Cross-border Mergers and Acquisitions</w:t>
                    </w:r>
                  </w:hyperlink>
                </w:p>
              </w:tc>
            </w:tr>
            <w:tr>
              <w:tc>
                <w:tcPr>
                  <w:tcW w:w="3686.4" w:type="dxa"/>
                </w:tcPr>
                <w:p>
                  <w:pPr>
                    <w:spacing w:after="220"/>
                  </w:pPr>
                  <w:hyperlink r:id="R8622f6fadca9424e" w:history="1">
                    <w:r>
                      <w:rPr>
                        <w:rStyle w:val="Hyperlink"/>
                        <w:rFonts w:ascii="Georgia" w:hAnsi="Georgia" w:cs="Georgia"/>
                        <w:sz w:val="24"/>
                        <w:szCs w:val="24"/>
                      </w:rPr>
                      <w:t>Infrastructure/Energy M&amp;A and Joint Ventures</w:t>
                    </w:r>
                  </w:hyperlink>
                </w:p>
              </w:tc>
            </w:tr>
            <w:tr>
              <w:tc>
                <w:tcPr>
                  <w:tcW w:w="3686.4" w:type="dxa"/>
                </w:tcPr>
                <w:p>
                  <w:pPr>
                    <w:spacing w:after="220"/>
                  </w:pPr>
                  <w:hyperlink r:id="R41ecb2fab7fb44e2" w:history="1">
                    <w:r>
                      <w:rPr>
                        <w:rStyle w:val="Hyperlink"/>
                        <w:rFonts w:ascii="Georgia" w:hAnsi="Georgia" w:cs="Georgia"/>
                        <w:sz w:val="24"/>
                        <w:szCs w:val="24"/>
                      </w:rPr>
                      <w:t>Regulated Industries and Utilities</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Second State Exam in Law, Higher Regional Court of Hamburg, 2012</w:t>
                  </w:r>
                </w:p>
              </w:tc>
            </w:tr>
            <w:tr>
              <w:tc>
                <w:tcPr>
                  <w:tcW w:w="3686.4" w:type="dxa"/>
                </w:tcPr>
                <w:p>
                  <w:pPr>
                    <w:spacing w:after="220"/>
                  </w:pPr>
                  <w:r>
                    <w:rPr>
                      <w:lang w:val="en-US"/>
                      <w:rFonts w:ascii="Georgia" w:hAnsi="Georgia" w:cs="Georgia"/>
                      <w:u w:val="none"/>
                      <w:sz w:val="24"/>
                      <w:szCs w:val="24"/>
                      <w:color w:val="000000"/>
                    </w:rPr>
                    <w:t>Dr. iur., Osnabrück University, 2011</w:t>
                  </w:r>
                </w:p>
              </w:tc>
            </w:tr>
            <w:tr>
              <w:tc>
                <w:tcPr>
                  <w:tcW w:w="3686.4" w:type="dxa"/>
                </w:tcPr>
                <w:p>
                  <w:pPr>
                    <w:spacing w:after="220"/>
                  </w:pPr>
                  <w:r>
                    <w:rPr>
                      <w:lang w:val="en-US"/>
                      <w:rFonts w:ascii="Georgia" w:hAnsi="Georgia" w:cs="Georgia"/>
                      <w:u w:val="none"/>
                      <w:sz w:val="24"/>
                      <w:szCs w:val="24"/>
                      <w:color w:val="000000"/>
                    </w:rPr>
                    <w:t>First State Exam in Law, Osnabrück University, 2007</w:t>
                  </w:r>
                </w:p>
              </w:tc>
            </w:tr>
            <w:tr>
              <w:tc>
                <w:tcPr>
                  <w:tcW w:w="3686.4" w:type="dxa"/>
                </w:tcPr>
                <w:p>
                  <w:pPr>
                    <w:spacing w:after="220"/>
                  </w:pPr>
                  <w:r>
                    <w:rPr>
                      <w:lang w:val="en-US"/>
                      <w:rFonts w:ascii="Georgia" w:hAnsi="Georgia" w:cs="Georgia"/>
                      <w:u w:val="none"/>
                      <w:sz w:val="24"/>
                      <w:szCs w:val="24"/>
                      <w:color w:val="000000"/>
                    </w:rPr>
                    <w:t>LL.B., Osnabrück University, 2006</w:t>
                  </w:r>
                </w:p>
              </w:tc>
            </w:tr>
            <w:tr>
              <w:tc>
                <w:tcPr>
                  <w:tcW w:w="3686.4" w:type="dxa"/>
                </w:tcPr>
                <w:p>
                  <w:pPr>
                    <w:spacing w:after="220"/>
                  </w:pPr>
                  <w:r>
                    <w:rPr>
                      <w:lang w:val="en-US"/>
                      <w:rFonts w:ascii="Georgia" w:hAnsi="Georgia" w:cs="Georgia"/>
                      <w:u w:val="none"/>
                      <w:sz w:val="24"/>
                      <w:szCs w:val="24"/>
                      <w:color w:val="000000"/>
                    </w:rPr>
                    <w:t>Study Abroad, Leiden University, 2005</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378c26af-cd0e-411d-9e5c-9a2ce014e825.jpeg" Id="R3234583db4544f6b" /><Relationship Type="http://schemas.openxmlformats.org/officeDocument/2006/relationships/hyperlink" Target="mailto:alexander.koch@hoganlovells.com" TargetMode="External" Id="R5ce2cf0e1d89489d" /><Relationship Type="http://schemas.openxmlformats.org/officeDocument/2006/relationships/hyperlink" Target="https://mc-7c5ead77-4153-4f21-9a29-b0c7-cm.azurewebsites.net//en/service/mergers-and-acquisitions" TargetMode="External" Id="R0ec2cb10d6f74029" /><Relationship Type="http://schemas.openxmlformats.org/officeDocument/2006/relationships/hyperlink" Target="https://mc-7c5ead77-4153-4f21-9a29-b0c7-cm.azurewebsites.net//en/service/joint-ventures" TargetMode="External" Id="R94e5deb2d9fc4f08" /><Relationship Type="http://schemas.openxmlformats.org/officeDocument/2006/relationships/hyperlink" Target="https://mc-7c5ead77-4153-4f21-9a29-b0c7-cm.azurewebsites.net//en/service/corporate-governance-and-public-company-representation" TargetMode="External" Id="R3fa6caa4f612451c" /><Relationship Type="http://schemas.openxmlformats.org/officeDocument/2006/relationships/hyperlink" Target="https://mc-7c5ead77-4153-4f21-9a29-b0c7-cm.azurewebsites.net//en/service/infrastructure-energy-resources-and-projects" TargetMode="External" Id="Rec288574e1fb4d8e" /><Relationship Type="http://schemas.openxmlformats.org/officeDocument/2006/relationships/hyperlink" Target="https://mc-7c5ead77-4153-4f21-9a29-b0c7-cm.azurewebsites.net//en/service/energy-regulatory" TargetMode="External" Id="R9cee3425868241fe" /><Relationship Type="http://schemas.openxmlformats.org/officeDocument/2006/relationships/hyperlink" Target="https://mc-7c5ead77-4153-4f21-9a29-b0c7-cm.azurewebsites.net/https://www.hlc.com/en/capabilities/practice-category-group/corporate-and-finance" TargetMode="External" Id="Rc6d33083f39e42b8" /><Relationship Type="http://schemas.openxmlformats.org/officeDocument/2006/relationships/hyperlink" Target="https://mc-7c5ead77-4153-4f21-9a29-b0c7-cm.azurewebsites.net//en/sector/energy" TargetMode="External" Id="Rabcfdea4aeb041f7" /><Relationship Type="http://schemas.openxmlformats.org/officeDocument/2006/relationships/hyperlink" Target="https://mc-7c5ead77-4153-4f21-9a29-b0c7-cm.azurewebsites.net//en/sector/aerospace-and-defense" TargetMode="External" Id="R2221ca5caf414664" /><Relationship Type="http://schemas.openxmlformats.org/officeDocument/2006/relationships/hyperlink" Target="https://mc-7c5ead77-4153-4f21-9a29-b0c7-cm.azurewebsites.net//en/sector/sports-media-and-entertainment" TargetMode="External" Id="R3a9d9bdec4dc4a9e" /><Relationship Type="http://schemas.openxmlformats.org/officeDocument/2006/relationships/hyperlink" Target="https://mc-7c5ead77-4153-4f21-9a29-b0c7-cm.azurewebsites.net//en/sector/manufacturing-and-industrials" TargetMode="External" Id="Rd960fe764a974bd5" /><Relationship Type="http://schemas.openxmlformats.org/officeDocument/2006/relationships/hyperlink" Target="https://mc-7c5ead77-4153-4f21-9a29-b0c7-cm.azurewebsites.net//en/sector/real-estate" TargetMode="External" Id="R48ea1fa7d76d41ed" /><Relationship Type="http://schemas.openxmlformats.org/officeDocument/2006/relationships/hyperlink" Target="https://mc-7c5ead77-4153-4f21-9a29-b0c7-cm.azurewebsites.net//en/aof/cross-border-mergers-and-acquisitions" TargetMode="External" Id="Rafa13f3548d0401c" /><Relationship Type="http://schemas.openxmlformats.org/officeDocument/2006/relationships/hyperlink" Target="https://mc-7c5ead77-4153-4f21-9a29-b0c7-cm.azurewebsites.net//en/aof/manda-and-joint-ventures" TargetMode="External" Id="R8622f6fadca9424e" /><Relationship Type="http://schemas.openxmlformats.org/officeDocument/2006/relationships/hyperlink" Target="https://mc-7c5ead77-4153-4f21-9a29-b0c7-cm.azurewebsites.net//en/aof/regulated-industries-and-utilities" TargetMode="External" Id="R41ecb2fab7fb44e2"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